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F7606A" w:rsidRPr="00F7606A" w:rsidTr="00F7606A">
        <w:trPr>
          <w:tblCellSpacing w:w="0" w:type="dxa"/>
        </w:trPr>
        <w:tc>
          <w:tcPr>
            <w:tcW w:w="0" w:type="auto"/>
            <w:hideMark/>
          </w:tcPr>
          <w:p w:rsidR="00F7606A" w:rsidRPr="00F7606A" w:rsidRDefault="00F7606A" w:rsidP="00F7606A">
            <w:pPr>
              <w:widowControl/>
              <w:shd w:val="clear" w:color="auto" w:fill="F9F9F9"/>
              <w:spacing w:line="480" w:lineRule="auto"/>
              <w:jc w:val="center"/>
              <w:rPr>
                <w:rFonts w:ascii="宋体" w:eastAsia="宋体" w:hAnsi="宋体" w:cs="宋体"/>
                <w:b/>
                <w:bCs/>
                <w:color w:val="ED1A00"/>
                <w:kern w:val="0"/>
                <w:sz w:val="28"/>
                <w:szCs w:val="28"/>
              </w:rPr>
            </w:pPr>
            <w:r w:rsidRPr="00F7606A">
              <w:rPr>
                <w:rFonts w:ascii="宋体" w:eastAsia="宋体" w:hAnsi="宋体" w:cs="宋体" w:hint="eastAsia"/>
                <w:b/>
                <w:bCs/>
                <w:color w:val="ED1A00"/>
                <w:kern w:val="0"/>
                <w:sz w:val="28"/>
                <w:szCs w:val="28"/>
              </w:rPr>
              <w:t>中共莆田市委 莆田市人民政府关于实施人才“壶兰计划”的意见</w:t>
            </w:r>
          </w:p>
          <w:p w:rsidR="00F7606A" w:rsidRPr="00F7606A" w:rsidRDefault="00F7606A" w:rsidP="00F7606A">
            <w:pPr>
              <w:widowControl/>
              <w:shd w:val="clear" w:color="auto" w:fill="F9F9F9"/>
              <w:spacing w:line="502" w:lineRule="atLeast"/>
              <w:jc w:val="center"/>
              <w:rPr>
                <w:rFonts w:ascii="宋体" w:eastAsia="宋体" w:hAnsi="宋体" w:cs="宋体" w:hint="eastAsia"/>
                <w:b/>
                <w:bCs/>
                <w:color w:val="494949"/>
                <w:kern w:val="0"/>
                <w:sz w:val="28"/>
                <w:szCs w:val="28"/>
              </w:rPr>
            </w:pPr>
            <w:r w:rsidRPr="00F7606A">
              <w:rPr>
                <w:rFonts w:ascii="宋体" w:eastAsia="宋体" w:hAnsi="宋体" w:cs="宋体" w:hint="eastAsia"/>
                <w:b/>
                <w:bCs/>
                <w:color w:val="494949"/>
                <w:kern w:val="0"/>
                <w:sz w:val="28"/>
                <w:szCs w:val="28"/>
              </w:rPr>
              <w:t>莆委发〔2017〕2号</w:t>
            </w:r>
          </w:p>
          <w:p w:rsidR="00F7606A" w:rsidRPr="00F7606A" w:rsidRDefault="00F7606A" w:rsidP="00F7606A">
            <w:pPr>
              <w:widowControl/>
              <w:spacing w:before="100" w:beforeAutospacing="1" w:after="100" w:afterAutospacing="1"/>
              <w:jc w:val="left"/>
              <w:rPr>
                <w:rFonts w:ascii="宋体" w:eastAsia="宋体" w:hAnsi="宋体" w:cs="宋体" w:hint="eastAsia"/>
                <w:color w:val="000000"/>
                <w:kern w:val="0"/>
                <w:sz w:val="28"/>
                <w:szCs w:val="28"/>
              </w:rPr>
            </w:pPr>
          </w:p>
          <w:p w:rsidR="00F7606A" w:rsidRPr="00F7606A" w:rsidRDefault="00F7606A" w:rsidP="00F7606A">
            <w:pPr>
              <w:widowControl/>
              <w:spacing w:before="100" w:beforeAutospacing="1" w:after="100" w:afterAutospacing="1"/>
              <w:jc w:val="left"/>
              <w:rPr>
                <w:rFonts w:ascii="宋体" w:eastAsia="宋体" w:hAnsi="宋体" w:cs="宋体" w:hint="eastAsia"/>
                <w:color w:val="000000"/>
                <w:kern w:val="0"/>
                <w:sz w:val="28"/>
                <w:szCs w:val="28"/>
              </w:rPr>
            </w:pPr>
            <w:r w:rsidRPr="00F7606A">
              <w:rPr>
                <w:rFonts w:ascii="宋体" w:eastAsia="宋体" w:hAnsi="宋体" w:cs="宋体" w:hint="eastAsia"/>
                <w:color w:val="000000"/>
                <w:kern w:val="0"/>
                <w:sz w:val="28"/>
                <w:szCs w:val="28"/>
              </w:rPr>
              <w:t>各县区委（工委）、人民政府（管委会），市直各单位：</w:t>
            </w:r>
          </w:p>
          <w:p w:rsidR="00F7606A" w:rsidRPr="00F7606A" w:rsidRDefault="00F7606A" w:rsidP="00F7606A">
            <w:pPr>
              <w:widowControl/>
              <w:spacing w:before="100" w:beforeAutospacing="1" w:after="100" w:afterAutospacing="1"/>
              <w:jc w:val="left"/>
              <w:rPr>
                <w:rFonts w:ascii="宋体" w:eastAsia="宋体" w:hAnsi="宋体" w:cs="宋体" w:hint="eastAsia"/>
                <w:color w:val="000000"/>
                <w:kern w:val="0"/>
                <w:sz w:val="28"/>
                <w:szCs w:val="28"/>
              </w:rPr>
            </w:pPr>
            <w:r w:rsidRPr="00F7606A">
              <w:rPr>
                <w:rFonts w:ascii="宋体" w:eastAsia="宋体" w:hAnsi="宋体" w:cs="宋体" w:hint="eastAsia"/>
                <w:color w:val="000000"/>
                <w:kern w:val="0"/>
                <w:sz w:val="28"/>
                <w:szCs w:val="28"/>
              </w:rPr>
              <w:t xml:space="preserve">　　为贯彻落实中央、省委关于深化人才发展体制机制改革意见和市第七次党代会精神，吸引各方创新要素和智力资源向我市汇聚，努力打造宜居港城、建设美丽莆田，现就实施人才“壶兰计划”提出如下意见：</w:t>
            </w:r>
          </w:p>
          <w:p w:rsidR="00F7606A" w:rsidRPr="00F7606A" w:rsidRDefault="00F7606A" w:rsidP="00F7606A">
            <w:pPr>
              <w:widowControl/>
              <w:spacing w:before="100" w:beforeAutospacing="1" w:after="100" w:afterAutospacing="1"/>
              <w:jc w:val="left"/>
              <w:rPr>
                <w:rFonts w:ascii="宋体" w:eastAsia="宋体" w:hAnsi="宋体" w:cs="宋体" w:hint="eastAsia"/>
                <w:color w:val="000000"/>
                <w:kern w:val="0"/>
                <w:sz w:val="28"/>
                <w:szCs w:val="28"/>
              </w:rPr>
            </w:pPr>
            <w:r w:rsidRPr="00F7606A">
              <w:rPr>
                <w:rFonts w:ascii="宋体" w:eastAsia="宋体" w:hAnsi="宋体" w:cs="宋体" w:hint="eastAsia"/>
                <w:color w:val="000000"/>
                <w:kern w:val="0"/>
                <w:sz w:val="28"/>
                <w:szCs w:val="28"/>
              </w:rPr>
              <w:t xml:space="preserve">　　一、实施更具竞争优势的人才引进与集聚政策</w:t>
            </w:r>
          </w:p>
          <w:p w:rsidR="00F7606A" w:rsidRPr="00F7606A" w:rsidRDefault="00F7606A" w:rsidP="00F7606A">
            <w:pPr>
              <w:widowControl/>
              <w:spacing w:before="100" w:beforeAutospacing="1" w:after="100" w:afterAutospacing="1"/>
              <w:jc w:val="left"/>
              <w:rPr>
                <w:rFonts w:ascii="宋体" w:eastAsia="宋体" w:hAnsi="宋体" w:cs="宋体" w:hint="eastAsia"/>
                <w:color w:val="000000"/>
                <w:kern w:val="0"/>
                <w:sz w:val="28"/>
                <w:szCs w:val="28"/>
              </w:rPr>
            </w:pPr>
            <w:r w:rsidRPr="00F7606A">
              <w:rPr>
                <w:rFonts w:ascii="宋体" w:eastAsia="宋体" w:hAnsi="宋体" w:cs="宋体" w:hint="eastAsia"/>
                <w:color w:val="000000"/>
                <w:kern w:val="0"/>
                <w:sz w:val="28"/>
                <w:szCs w:val="28"/>
              </w:rPr>
              <w:t xml:space="preserve">　　1. 实施创业创新人才团队引领工程。开展市高层次创业创新人才遴选工作，给予入选团队300万元补助，给予入选个人最高150万元补助；入选国家和省级计划的，市级按1:1比例给予配套补助。对能在莆实现重大产业突破的高层次人才团队实行“一事一议”，从人才、科技、工业等项目经费中统筹给予最高综合支持3000万元，所需资金由市财政与企业属地财政各承担一半。引进两院院士、发达国家院士和国家“千人计划”“万人计划”人选的，除省级补助外，分别再给予200万元和100万元补助。对来莆创办科技型中小企业或技术经济实体且从事符合我市重点发展领域的重大科技成果转化和产业化项目的，按其投资额的30%给予创业启动资金的资助（最高不超过500万元），并给予50%的项目贷款贴息（最高为100万元，贴息</w:t>
            </w:r>
            <w:r w:rsidRPr="00F7606A">
              <w:rPr>
                <w:rFonts w:ascii="宋体" w:eastAsia="宋体" w:hAnsi="宋体" w:cs="宋体" w:hint="eastAsia"/>
                <w:color w:val="000000"/>
                <w:kern w:val="0"/>
                <w:sz w:val="28"/>
                <w:szCs w:val="28"/>
              </w:rPr>
              <w:lastRenderedPageBreak/>
              <w:t>期不超过2年）；创办的企业被认定为国家高新技术企业、创新型企业和省级创新型企业的，分别给予50万元和30万元奖励。引进5年内的高层次人才，以其所缴纳个人所得税地方留成部分为标准给予全额奖励。</w:t>
            </w:r>
          </w:p>
          <w:p w:rsidR="00F7606A" w:rsidRPr="00F7606A" w:rsidRDefault="00F7606A" w:rsidP="00F7606A">
            <w:pPr>
              <w:widowControl/>
              <w:spacing w:before="100" w:beforeAutospacing="1" w:after="100" w:afterAutospacing="1"/>
              <w:jc w:val="left"/>
              <w:rPr>
                <w:rFonts w:ascii="宋体" w:eastAsia="宋体" w:hAnsi="宋体" w:cs="宋体" w:hint="eastAsia"/>
                <w:color w:val="000000"/>
                <w:kern w:val="0"/>
                <w:sz w:val="28"/>
                <w:szCs w:val="28"/>
              </w:rPr>
            </w:pPr>
            <w:r w:rsidRPr="00F7606A">
              <w:rPr>
                <w:rFonts w:ascii="宋体" w:eastAsia="宋体" w:hAnsi="宋体" w:cs="宋体" w:hint="eastAsia"/>
                <w:color w:val="000000"/>
                <w:kern w:val="0"/>
                <w:sz w:val="28"/>
                <w:szCs w:val="28"/>
              </w:rPr>
              <w:t xml:space="preserve">　　2. 实施企业经营管理人才提升工程。加大职业经理人引进力度，对引进国内500强企业（以中国企业联合会每年发布的“中国企业500强”排行榜为准）和主板上市公司总部的中高层管理人才，或年薪达到我市上一年度城镇单位在岗职工平均工资8倍以上的人才，给予企业（不含中央、省属国有企业，下同）税前支付薪酬30%的补助，同一对象累计补助不超过5年，当年度补助不超过100万元，省市补助不重复享受。每年支持100名企业高级经营管理人才参加企业高级经营管理培训，参加国（境）外培训的每人3万元补助，参加国内培训的每人1万元补助，低于补助标准的据实结算。</w:t>
            </w:r>
          </w:p>
          <w:p w:rsidR="00F7606A" w:rsidRPr="00F7606A" w:rsidRDefault="00F7606A" w:rsidP="00F7606A">
            <w:pPr>
              <w:widowControl/>
              <w:spacing w:before="100" w:beforeAutospacing="1" w:after="100" w:afterAutospacing="1"/>
              <w:jc w:val="left"/>
              <w:rPr>
                <w:rFonts w:ascii="宋体" w:eastAsia="宋体" w:hAnsi="宋体" w:cs="宋体" w:hint="eastAsia"/>
                <w:color w:val="000000"/>
                <w:kern w:val="0"/>
                <w:sz w:val="28"/>
                <w:szCs w:val="28"/>
              </w:rPr>
            </w:pPr>
            <w:r w:rsidRPr="00F7606A">
              <w:rPr>
                <w:rFonts w:ascii="宋体" w:eastAsia="宋体" w:hAnsi="宋体" w:cs="宋体" w:hint="eastAsia"/>
                <w:color w:val="000000"/>
                <w:kern w:val="0"/>
                <w:sz w:val="28"/>
                <w:szCs w:val="28"/>
              </w:rPr>
              <w:t xml:space="preserve">　　3. 实施紧缺急需人才补充工程。每年联动周期性发布重点和新兴产业紧缺专业引才目录。实施名校优生引进计划，全日制普通院校硕士研究生以上学历毕业生来莆与企业签订5年以上工作（聘用）合同、企业支付年薪达到我市上一年度城镇单位在岗职工平均工资的，给予企业税前支付薪酬30%的补助，同一对象补助不超过5年，省市补助不重复享受。对“双一流”高校（重点是原“985”“211”高校和中科院大学，下同）国家重点学科、国家级科研院所理工类的本科生、在读研究生来莆实习实训时间在1个月以上的，在省里给予个人</w:t>
            </w:r>
            <w:r w:rsidRPr="00F7606A">
              <w:rPr>
                <w:rFonts w:ascii="宋体" w:eastAsia="宋体" w:hAnsi="宋体" w:cs="宋体" w:hint="eastAsia"/>
                <w:color w:val="000000"/>
                <w:kern w:val="0"/>
                <w:sz w:val="28"/>
                <w:szCs w:val="28"/>
              </w:rPr>
              <w:lastRenderedPageBreak/>
              <w:t>1800元到3000元补助的同时，市级再给予个人每月1000元补助，并按每人每月3000元标准给予接收单位补助，补助最多不超过3个月。对“双一流”高校硕士、博士毕业生，到事业单位工作的，试用期满分别直接确认为初级、中级专业技术职称（国家规定需考试的专业除外），工作满2年且达到继续教育培训学时要求的，硕士研究生直接确认为中级职称、博士研究生推荐申报高级职称；到机关单位工作的，先聘为事业单位干部，人事、工资关系寄放在市直有关单位，同时选派到乡镇（街道）基层和项目一线挂职锻炼，转正定级时分别任事业副科级、正科级干部，1年后将符合条件的人员分批次调到市、县区（管委会）机关或乡镇（街道），分别担任副科级、正科级领导干部，转为录用制公务员。同时，对“双一流”高校应届硕士、博士研究生在莆服务期不少于5年的，实行学费代偿制，分别分期给予6万元、10万元补助和20万元、30万元一次性安家补助。对非“双一流”高校的全日制普通院校应届硕士、博士研究生在莆服务期不少于5年的，分别给予每人5万元、10万元一次性安家补助。</w:t>
            </w:r>
          </w:p>
          <w:p w:rsidR="00F7606A" w:rsidRPr="00F7606A" w:rsidRDefault="00F7606A" w:rsidP="00F7606A">
            <w:pPr>
              <w:widowControl/>
              <w:spacing w:before="100" w:beforeAutospacing="1" w:after="100" w:afterAutospacing="1"/>
              <w:jc w:val="left"/>
              <w:rPr>
                <w:rFonts w:ascii="宋体" w:eastAsia="宋体" w:hAnsi="宋体" w:cs="宋体" w:hint="eastAsia"/>
                <w:color w:val="000000"/>
                <w:kern w:val="0"/>
                <w:sz w:val="28"/>
                <w:szCs w:val="28"/>
              </w:rPr>
            </w:pPr>
            <w:r w:rsidRPr="00F7606A">
              <w:rPr>
                <w:rFonts w:ascii="宋体" w:eastAsia="宋体" w:hAnsi="宋体" w:cs="宋体" w:hint="eastAsia"/>
                <w:color w:val="000000"/>
                <w:kern w:val="0"/>
                <w:sz w:val="28"/>
                <w:szCs w:val="28"/>
              </w:rPr>
              <w:t xml:space="preserve">　　4. 实施名师名医带动工程。对引进“千人计划”“万人计划”“长江学者”“闽江学者”等人才，分别给予100万元、50万元、20万元、10万元一次性安家补助。入选“壶兰学者”计划的人才，给予一次性奖励8万元。对引进中小学幼儿教育的省级杰出人民教师、特级教师、学科带头人和名校长，每月给予2000元生活补助。对教育部直属师范大学师范类全日制应届本科及以上毕业生和取得</w:t>
            </w:r>
            <w:r w:rsidRPr="00F7606A">
              <w:rPr>
                <w:rFonts w:ascii="宋体" w:eastAsia="宋体" w:hAnsi="宋体" w:cs="宋体" w:hint="eastAsia"/>
                <w:color w:val="000000"/>
                <w:kern w:val="0"/>
                <w:sz w:val="28"/>
                <w:szCs w:val="28"/>
              </w:rPr>
              <w:lastRenderedPageBreak/>
              <w:t>教师资格证书的非师范类“双一流”高校优秀毕业生，以及近五年内毕业、在市外就业且从事教师工作的“双一流”高校毕业生，到我市从事中小学幼儿教育的，实行专项考核招聘，在原有补助的基础上，每月再给予1000元生活补助，补助就高从优不重复。鼓励“联大靠强”,与知名医院和医学中心合作建立技术合作交流与人才培养基地，引进国家级、省级、市级高层次医疗卫生人才且最低服务年限5年的，分别给予100万元、50万元、25万元补助（不计入绩效工资总额）；对培养成为省级学术带头人的卫生骨干人才给予25万元补助；对后备学术带头人的医坛新秀纳入市优秀人才滚动管理，每月给予2000元生活补助。市内民营医疗机构符合条件的人才享受同等待遇。</w:t>
            </w:r>
          </w:p>
          <w:p w:rsidR="00F7606A" w:rsidRPr="00F7606A" w:rsidRDefault="00F7606A" w:rsidP="00F7606A">
            <w:pPr>
              <w:widowControl/>
              <w:spacing w:before="100" w:beforeAutospacing="1" w:after="100" w:afterAutospacing="1"/>
              <w:jc w:val="left"/>
              <w:rPr>
                <w:rFonts w:ascii="宋体" w:eastAsia="宋体" w:hAnsi="宋体" w:cs="宋体" w:hint="eastAsia"/>
                <w:color w:val="000000"/>
                <w:kern w:val="0"/>
                <w:sz w:val="28"/>
                <w:szCs w:val="28"/>
              </w:rPr>
            </w:pPr>
            <w:r w:rsidRPr="00F7606A">
              <w:rPr>
                <w:rFonts w:ascii="宋体" w:eastAsia="宋体" w:hAnsi="宋体" w:cs="宋体" w:hint="eastAsia"/>
                <w:color w:val="000000"/>
                <w:kern w:val="0"/>
                <w:sz w:val="28"/>
                <w:szCs w:val="28"/>
              </w:rPr>
              <w:t xml:space="preserve">　　5. 实施特色人才培育工程。围绕我市的医疗健康以及鞋服、古典家具、金银珠宝设计等特色产业培育特色人才，建设一批特色产业人才聚集基地和企事业人才“小高地”，经认定分别给予每家50万元和30万元补助；鼓励特色产业企业培育行业顶尖人才，制定行业标准，对牵头制定国家标准、行业标准并获批的企业当年度分别给予50万元、20万元补助。实施“智汇莆田”专项行动，推动莆籍在外人才回归，对企业总部设在莆田并在莆缴纳个人所得税的人才，年薪达到我市上一年度城镇单位在岗职工平均工资6倍以上的，给予企业税前支付薪酬30%的补助，个人累计补助不超过5年，当年度补助不超过50万元，省市补助不重复享受；柔性回莆创新创业的，符合条件的可享受在莆高层次人才住房等同等待遇。实施市优秀人才遴选计</w:t>
            </w:r>
            <w:r w:rsidRPr="00F7606A">
              <w:rPr>
                <w:rFonts w:ascii="宋体" w:eastAsia="宋体" w:hAnsi="宋体" w:cs="宋体" w:hint="eastAsia"/>
                <w:color w:val="000000"/>
                <w:kern w:val="0"/>
                <w:sz w:val="28"/>
                <w:szCs w:val="28"/>
              </w:rPr>
              <w:lastRenderedPageBreak/>
              <w:t>划，每两年滚动遴选100名左右市级优秀人才，重点培养科技创新创业人才、企业高级经营管理人才、青年拔尖人才、文化创意领军人才、哲学社会领军人才等各类人才，给予每人每月2000元生活补助。</w:t>
            </w:r>
          </w:p>
          <w:p w:rsidR="00F7606A" w:rsidRPr="00F7606A" w:rsidRDefault="00F7606A" w:rsidP="00F7606A">
            <w:pPr>
              <w:widowControl/>
              <w:spacing w:before="100" w:beforeAutospacing="1" w:after="100" w:afterAutospacing="1"/>
              <w:jc w:val="left"/>
              <w:rPr>
                <w:rFonts w:ascii="宋体" w:eastAsia="宋体" w:hAnsi="宋体" w:cs="宋体" w:hint="eastAsia"/>
                <w:color w:val="000000"/>
                <w:kern w:val="0"/>
                <w:sz w:val="28"/>
                <w:szCs w:val="28"/>
              </w:rPr>
            </w:pPr>
            <w:r w:rsidRPr="00F7606A">
              <w:rPr>
                <w:rFonts w:ascii="宋体" w:eastAsia="宋体" w:hAnsi="宋体" w:cs="宋体" w:hint="eastAsia"/>
                <w:color w:val="000000"/>
                <w:kern w:val="0"/>
                <w:sz w:val="28"/>
                <w:szCs w:val="28"/>
              </w:rPr>
              <w:t xml:space="preserve">　　二、打造更为系统完备的人才培养与发展平台</w:t>
            </w:r>
          </w:p>
          <w:p w:rsidR="00F7606A" w:rsidRPr="00F7606A" w:rsidRDefault="00F7606A" w:rsidP="00F7606A">
            <w:pPr>
              <w:widowControl/>
              <w:spacing w:before="100" w:beforeAutospacing="1" w:after="100" w:afterAutospacing="1"/>
              <w:jc w:val="left"/>
              <w:rPr>
                <w:rFonts w:ascii="宋体" w:eastAsia="宋体" w:hAnsi="宋体" w:cs="宋体" w:hint="eastAsia"/>
                <w:color w:val="000000"/>
                <w:kern w:val="0"/>
                <w:sz w:val="28"/>
                <w:szCs w:val="28"/>
              </w:rPr>
            </w:pPr>
            <w:r w:rsidRPr="00F7606A">
              <w:rPr>
                <w:rFonts w:ascii="宋体" w:eastAsia="宋体" w:hAnsi="宋体" w:cs="宋体" w:hint="eastAsia"/>
                <w:color w:val="000000"/>
                <w:kern w:val="0"/>
                <w:sz w:val="28"/>
                <w:szCs w:val="28"/>
              </w:rPr>
              <w:t xml:space="preserve">　　6. 打造院（校）地合作平台。推进中科院和我市干部人才互派挂职工作，采取小分队等不同形式异地举办院地科技人才项目对接会。发挥省内外高校资源优势，围绕产业发展需求，加强人才交流和技术合作。推进莆田学院、湄洲湾职业技术学院等高等教育和职业教育机构办学模式改革，建立和形成优势学科和特色产业相融合的应用型人才培养模式，争取5年内莆田学院设立硕士点。整合职校资源，推广“校企双制、工学一体”办学模式，培养重点产业、重要领域的急需紧缺人才。</w:t>
            </w:r>
          </w:p>
          <w:p w:rsidR="00F7606A" w:rsidRPr="00F7606A" w:rsidRDefault="00F7606A" w:rsidP="00F7606A">
            <w:pPr>
              <w:widowControl/>
              <w:spacing w:before="100" w:beforeAutospacing="1" w:after="100" w:afterAutospacing="1"/>
              <w:jc w:val="left"/>
              <w:rPr>
                <w:rFonts w:ascii="宋体" w:eastAsia="宋体" w:hAnsi="宋体" w:cs="宋体" w:hint="eastAsia"/>
                <w:color w:val="000000"/>
                <w:kern w:val="0"/>
                <w:sz w:val="28"/>
                <w:szCs w:val="28"/>
              </w:rPr>
            </w:pPr>
            <w:r w:rsidRPr="00F7606A">
              <w:rPr>
                <w:rFonts w:ascii="宋体" w:eastAsia="宋体" w:hAnsi="宋体" w:cs="宋体" w:hint="eastAsia"/>
                <w:color w:val="000000"/>
                <w:kern w:val="0"/>
                <w:sz w:val="28"/>
                <w:szCs w:val="28"/>
              </w:rPr>
              <w:t xml:space="preserve">　　7. 打造人才创新创业平台。鼓励高校、科研机构和企业设立博士后流动站（工作站）和院士专家工作站，获批后分别给予100万元和20万元补助，给予进站博士每人每年生活补助8万元，出站后留莆就业创业的给予一次性补助10万元，省市补助不重复享受。对被认定为国家级和省级重点实验室、工程研究中心（工程实验室）、企业技术中心、工业设计中心、工程技术研究中心，在发改、经信、科技部门已有补助标准基础上，再分别给予100万元和20万元补助。被批准为国家级、省级科技企业孵化器,且高层次人才创办企业占入驻企业30%以上（至少5家）的，分别给予补助200万元、100万元。</w:t>
            </w:r>
            <w:r w:rsidRPr="00F7606A">
              <w:rPr>
                <w:rFonts w:ascii="宋体" w:eastAsia="宋体" w:hAnsi="宋体" w:cs="宋体" w:hint="eastAsia"/>
                <w:color w:val="000000"/>
                <w:kern w:val="0"/>
                <w:sz w:val="28"/>
                <w:szCs w:val="28"/>
              </w:rPr>
              <w:lastRenderedPageBreak/>
              <w:t>对被认定为国家、省级公共服务平台的，分别给予50万元、20万元补助。对被认定为市级创业创新示范基地和众创空间的，分别给予100万元、20万元补助。</w:t>
            </w:r>
          </w:p>
          <w:p w:rsidR="00F7606A" w:rsidRPr="00F7606A" w:rsidRDefault="00F7606A" w:rsidP="00F7606A">
            <w:pPr>
              <w:widowControl/>
              <w:spacing w:before="100" w:beforeAutospacing="1" w:after="100" w:afterAutospacing="1"/>
              <w:jc w:val="left"/>
              <w:rPr>
                <w:rFonts w:ascii="宋体" w:eastAsia="宋体" w:hAnsi="宋体" w:cs="宋体" w:hint="eastAsia"/>
                <w:color w:val="000000"/>
                <w:kern w:val="0"/>
                <w:sz w:val="28"/>
                <w:szCs w:val="28"/>
              </w:rPr>
            </w:pPr>
            <w:r w:rsidRPr="00F7606A">
              <w:rPr>
                <w:rFonts w:ascii="宋体" w:eastAsia="宋体" w:hAnsi="宋体" w:cs="宋体" w:hint="eastAsia"/>
                <w:color w:val="000000"/>
                <w:kern w:val="0"/>
                <w:sz w:val="28"/>
                <w:szCs w:val="28"/>
              </w:rPr>
              <w:t xml:space="preserve">　　8. 打造产业研究院建设平台。依托莆田学院、湄洲湾职业技术学院和行业协会、企业，通过与国内外著名科研机构、技术转移机构和名校名院名企的战略合作，开展重大关键技术联合攻关、重大课题项目联合申报、重大科研成果联合转化，建设产业研究院、工业技术研究院、企业技术联盟、创新中心等集科学研究、产业孵化、人才培养、技术转移、科技服务功能于一体的综合性、开放性、非营利性本土研发机构。对国内外知名高校、国家级重点科研院所、中央企业、跨国公司、国家级培训咨询机构、知名中介机构、海外华侨华人专业社团等，在我市设立重大研发机构、技术转移中心等各类成果转化机构的，最高给予200万元的资助。鼓励企业兼并收购或设立国（境）外研发机构，吸引使用当地优秀人才，研发机构符合我市建设标准的，与市内研发机构享受同等待遇。</w:t>
            </w:r>
          </w:p>
          <w:p w:rsidR="00F7606A" w:rsidRPr="00F7606A" w:rsidRDefault="00F7606A" w:rsidP="00F7606A">
            <w:pPr>
              <w:widowControl/>
              <w:spacing w:before="100" w:beforeAutospacing="1" w:after="100" w:afterAutospacing="1"/>
              <w:jc w:val="left"/>
              <w:rPr>
                <w:rFonts w:ascii="宋体" w:eastAsia="宋体" w:hAnsi="宋体" w:cs="宋体" w:hint="eastAsia"/>
                <w:color w:val="000000"/>
                <w:kern w:val="0"/>
                <w:sz w:val="28"/>
                <w:szCs w:val="28"/>
              </w:rPr>
            </w:pPr>
            <w:r w:rsidRPr="00F7606A">
              <w:rPr>
                <w:rFonts w:ascii="宋体" w:eastAsia="宋体" w:hAnsi="宋体" w:cs="宋体" w:hint="eastAsia"/>
                <w:color w:val="000000"/>
                <w:kern w:val="0"/>
                <w:sz w:val="28"/>
                <w:szCs w:val="28"/>
              </w:rPr>
              <w:t xml:space="preserve">　　三、健全更加灵活高效的人才评价与保障体系</w:t>
            </w:r>
          </w:p>
          <w:p w:rsidR="00F7606A" w:rsidRPr="00F7606A" w:rsidRDefault="00F7606A" w:rsidP="00F7606A">
            <w:pPr>
              <w:widowControl/>
              <w:spacing w:before="100" w:beforeAutospacing="1" w:after="100" w:afterAutospacing="1"/>
              <w:jc w:val="left"/>
              <w:rPr>
                <w:rFonts w:ascii="宋体" w:eastAsia="宋体" w:hAnsi="宋体" w:cs="宋体" w:hint="eastAsia"/>
                <w:color w:val="000000"/>
                <w:kern w:val="0"/>
                <w:sz w:val="28"/>
                <w:szCs w:val="28"/>
              </w:rPr>
            </w:pPr>
            <w:r w:rsidRPr="00F7606A">
              <w:rPr>
                <w:rFonts w:ascii="宋体" w:eastAsia="宋体" w:hAnsi="宋体" w:cs="宋体" w:hint="eastAsia"/>
                <w:color w:val="000000"/>
                <w:kern w:val="0"/>
                <w:sz w:val="28"/>
                <w:szCs w:val="28"/>
              </w:rPr>
              <w:t xml:space="preserve">　　9. 健全科技人才激励制度。对企业给予科研机构和高校科技人员的股权激励、股票期权、科技成果入股等，以其当年度缴纳个人所得税地方留成部分的50%为标准给予一次性奖励。对引进高层次创新创业人才作为项目主要负责人的国家级或省级科技项目，给予下达经费的50%配套资助（最高不超过200万元）。对引进高层次人才作为</w:t>
            </w:r>
            <w:r w:rsidRPr="00F7606A">
              <w:rPr>
                <w:rFonts w:ascii="宋体" w:eastAsia="宋体" w:hAnsi="宋体" w:cs="宋体" w:hint="eastAsia"/>
                <w:color w:val="000000"/>
                <w:kern w:val="0"/>
                <w:sz w:val="28"/>
                <w:szCs w:val="28"/>
              </w:rPr>
              <w:lastRenderedPageBreak/>
              <w:t>项目的主要人员（排前三名），其项目成果入选国家或省科学技术一、二等奖的，按奖励经费的1:1比例给予配套奖励。对企业与高等院校、科研院所联合攻关、共同开发，并在我市实现产业化科技项目和技术的，按企业支付科技合作费用的50%给予补助，补助金额不超过100万元。对获得国内外（地区）发明专利、中国专利奖、中国专利优秀奖、中国外观设计金奖及中国外观设计优秀奖的专利权人，给予1万元到5万元奖励。</w:t>
            </w:r>
          </w:p>
          <w:p w:rsidR="00F7606A" w:rsidRPr="00F7606A" w:rsidRDefault="00F7606A" w:rsidP="00F7606A">
            <w:pPr>
              <w:widowControl/>
              <w:spacing w:before="100" w:beforeAutospacing="1" w:after="100" w:afterAutospacing="1"/>
              <w:jc w:val="left"/>
              <w:rPr>
                <w:rFonts w:ascii="宋体" w:eastAsia="宋体" w:hAnsi="宋体" w:cs="宋体" w:hint="eastAsia"/>
                <w:color w:val="000000"/>
                <w:kern w:val="0"/>
                <w:sz w:val="28"/>
                <w:szCs w:val="28"/>
              </w:rPr>
            </w:pPr>
            <w:r w:rsidRPr="00F7606A">
              <w:rPr>
                <w:rFonts w:ascii="宋体" w:eastAsia="宋体" w:hAnsi="宋体" w:cs="宋体" w:hint="eastAsia"/>
                <w:color w:val="000000"/>
                <w:kern w:val="0"/>
                <w:sz w:val="28"/>
                <w:szCs w:val="28"/>
              </w:rPr>
              <w:t xml:space="preserve">　　10. 健全人才评价形式。完善评审制、认定制、推荐制和积分制等多种人才评价方式。对职称外语、计算机应用能力、前年度考核情况和基层一线科技人员论文不作统一要求，由主管部门和用人单位根据职业属性、岗位需求自主确定。企业内训经备案的，其课时可视同技术人员继续教育课时。完善市级优秀人才退出管理机制。</w:t>
            </w:r>
          </w:p>
          <w:p w:rsidR="00F7606A" w:rsidRPr="00F7606A" w:rsidRDefault="00F7606A" w:rsidP="00F7606A">
            <w:pPr>
              <w:widowControl/>
              <w:spacing w:before="100" w:beforeAutospacing="1" w:after="100" w:afterAutospacing="1"/>
              <w:jc w:val="left"/>
              <w:rPr>
                <w:rFonts w:ascii="宋体" w:eastAsia="宋体" w:hAnsi="宋体" w:cs="宋体" w:hint="eastAsia"/>
                <w:color w:val="000000"/>
                <w:kern w:val="0"/>
                <w:sz w:val="28"/>
                <w:szCs w:val="28"/>
              </w:rPr>
            </w:pPr>
            <w:r w:rsidRPr="00F7606A">
              <w:rPr>
                <w:rFonts w:ascii="宋体" w:eastAsia="宋体" w:hAnsi="宋体" w:cs="宋体" w:hint="eastAsia"/>
                <w:color w:val="000000"/>
                <w:kern w:val="0"/>
                <w:sz w:val="28"/>
                <w:szCs w:val="28"/>
              </w:rPr>
              <w:t xml:space="preserve">　　11. 健全人才管理模式。落实用人单位自主权，对符合条件的公益二类事业单位实行备案制管理，在财政保障政策不变的基础上，推行“四自一特”管理办法，在编制职数控制数内，自主确定使用数、自主调整内设机构、自主设置聘用条件、自主聘用人员；对通过考试招聘专技人员（教师除外）的，原则上取消面试环节。对引进的高层次人才实行特设岗位和人才周转编制制度，每年统筹200名左右编制，专门用于引进紧缺急需及高层次人才。允许引进人才挂靠在高校或科研、医疗机构等平台，按事业单位编制管理，退休后享受事业单位同类人员同等待遇。探索选派非公经济组织和社会组织人才到党政</w:t>
            </w:r>
            <w:r w:rsidRPr="00F7606A">
              <w:rPr>
                <w:rFonts w:ascii="宋体" w:eastAsia="宋体" w:hAnsi="宋体" w:cs="宋体" w:hint="eastAsia"/>
                <w:color w:val="000000"/>
                <w:kern w:val="0"/>
                <w:sz w:val="28"/>
                <w:szCs w:val="28"/>
              </w:rPr>
              <w:lastRenderedPageBreak/>
              <w:t>机关、国有企事业单位挂职，党政机关、国有企事业单位可通过公开选拔、政府雇员、聘任等形式引进人才。</w:t>
            </w:r>
          </w:p>
          <w:p w:rsidR="00F7606A" w:rsidRPr="00F7606A" w:rsidRDefault="00F7606A" w:rsidP="00F7606A">
            <w:pPr>
              <w:widowControl/>
              <w:spacing w:before="100" w:beforeAutospacing="1" w:after="100" w:afterAutospacing="1"/>
              <w:jc w:val="left"/>
              <w:rPr>
                <w:rFonts w:ascii="宋体" w:eastAsia="宋体" w:hAnsi="宋体" w:cs="宋体" w:hint="eastAsia"/>
                <w:color w:val="000000"/>
                <w:kern w:val="0"/>
                <w:sz w:val="28"/>
                <w:szCs w:val="28"/>
              </w:rPr>
            </w:pPr>
            <w:r w:rsidRPr="00F7606A">
              <w:rPr>
                <w:rFonts w:ascii="宋体" w:eastAsia="宋体" w:hAnsi="宋体" w:cs="宋体" w:hint="eastAsia"/>
                <w:color w:val="000000"/>
                <w:kern w:val="0"/>
                <w:sz w:val="28"/>
                <w:szCs w:val="28"/>
              </w:rPr>
              <w:t xml:space="preserve">　　12. 健全人才保障服务体系。设立人才服务窗口。提高人才工作津贴，给予新引进、签订5年以上聘用（劳动）合同且在莆工作不少于6个月的全日制硕士研究生、高级技师以上人才，每人每月补助800元到8000元，同一对象补助不超过5年。对提供短期服务的人才，免费提供80平方米到120平方米人才周转房住宿，或每月给予1000元到3000元租房补助，低于补助标准的据实报销；对长期在莆工作且购买商品房的人才，给予5万元到100万元一次性安家补助。加快“人才社区”建设，探索对年纳税500万元以上和成长型企业中高层管理人才实行人才房配售。完善引进人才随迁子女就学政策，其子女在学前教育和义务教育阶段，依据就近原则和人才意愿，可择校一次，由市县两级教育行政部门按有关规定统筹安排；中学阶段选择民办学校的，本人自行承担同级公办学校的学费，其余部分由市级财政承担；探索建立国际学校、外国语学校，在具备条件的公立学校开设国际班、国际课程，满足海外人才子女教育多样化需求。优化人才关爱体系，探索建立人才休假、医疗保健制度。</w:t>
            </w:r>
          </w:p>
          <w:p w:rsidR="00F7606A" w:rsidRPr="00F7606A" w:rsidRDefault="00F7606A" w:rsidP="00F7606A">
            <w:pPr>
              <w:widowControl/>
              <w:spacing w:before="100" w:beforeAutospacing="1" w:after="100" w:afterAutospacing="1"/>
              <w:jc w:val="left"/>
              <w:rPr>
                <w:rFonts w:ascii="宋体" w:eastAsia="宋体" w:hAnsi="宋体" w:cs="宋体" w:hint="eastAsia"/>
                <w:color w:val="000000"/>
                <w:kern w:val="0"/>
                <w:sz w:val="28"/>
                <w:szCs w:val="28"/>
              </w:rPr>
            </w:pPr>
            <w:r w:rsidRPr="00F7606A">
              <w:rPr>
                <w:rFonts w:ascii="宋体" w:eastAsia="宋体" w:hAnsi="宋体" w:cs="宋体" w:hint="eastAsia"/>
                <w:color w:val="000000"/>
                <w:kern w:val="0"/>
                <w:sz w:val="28"/>
                <w:szCs w:val="28"/>
              </w:rPr>
              <w:t xml:space="preserve">　　13. 健全党管人才工作格局。健全党委统一领导，组织部门牵头抓总，有关部门各司其职、密切配合，社会力量共同参与的人才工作新格局。落实人才工作目标责任制，完善市县两级党政领导挂钩联系人才制度，发挥驻外人才工作联络站、企事业单位人才工作联系点的</w:t>
            </w:r>
            <w:r w:rsidRPr="00F7606A">
              <w:rPr>
                <w:rFonts w:ascii="宋体" w:eastAsia="宋体" w:hAnsi="宋体" w:cs="宋体" w:hint="eastAsia"/>
                <w:color w:val="000000"/>
                <w:kern w:val="0"/>
                <w:sz w:val="28"/>
                <w:szCs w:val="28"/>
              </w:rPr>
              <w:lastRenderedPageBreak/>
              <w:t>作用。探索建立人才科技资本发展公司，整合部门资金，运用市场化手段，提升对人才企业的支持力度。设立人才专项资金和人才基金，健全多元人才投入机制。</w:t>
            </w:r>
          </w:p>
          <w:p w:rsidR="00F7606A" w:rsidRPr="00F7606A" w:rsidRDefault="00F7606A" w:rsidP="00F7606A">
            <w:pPr>
              <w:widowControl/>
              <w:spacing w:before="100" w:beforeAutospacing="1" w:after="100" w:afterAutospacing="1"/>
              <w:jc w:val="left"/>
              <w:rPr>
                <w:rFonts w:ascii="宋体" w:eastAsia="宋体" w:hAnsi="宋体" w:cs="宋体"/>
                <w:color w:val="000000"/>
                <w:kern w:val="0"/>
                <w:sz w:val="28"/>
                <w:szCs w:val="28"/>
              </w:rPr>
            </w:pPr>
            <w:r w:rsidRPr="00F7606A">
              <w:rPr>
                <w:rFonts w:ascii="宋体" w:eastAsia="宋体" w:hAnsi="宋体" w:cs="宋体" w:hint="eastAsia"/>
                <w:color w:val="000000"/>
                <w:kern w:val="0"/>
                <w:sz w:val="28"/>
                <w:szCs w:val="28"/>
              </w:rPr>
              <w:t xml:space="preserve">　　本意见自印发之日起施行。此前制定的规定与本意见不一致的，按照“从新、从优、从高、不重复”的原则执行。</w:t>
            </w:r>
          </w:p>
        </w:tc>
      </w:tr>
    </w:tbl>
    <w:p w:rsidR="00736007" w:rsidRPr="00F7606A" w:rsidRDefault="00736007"/>
    <w:sectPr w:rsidR="00736007" w:rsidRPr="00F760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007" w:rsidRDefault="00736007" w:rsidP="00F7606A">
      <w:r>
        <w:separator/>
      </w:r>
    </w:p>
  </w:endnote>
  <w:endnote w:type="continuationSeparator" w:id="1">
    <w:p w:rsidR="00736007" w:rsidRDefault="00736007" w:rsidP="00F760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007" w:rsidRDefault="00736007" w:rsidP="00F7606A">
      <w:r>
        <w:separator/>
      </w:r>
    </w:p>
  </w:footnote>
  <w:footnote w:type="continuationSeparator" w:id="1">
    <w:p w:rsidR="00736007" w:rsidRDefault="00736007" w:rsidP="00F760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606A"/>
    <w:rsid w:val="00736007"/>
    <w:rsid w:val="00F760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60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606A"/>
    <w:rPr>
      <w:sz w:val="18"/>
      <w:szCs w:val="18"/>
    </w:rPr>
  </w:style>
  <w:style w:type="paragraph" w:styleId="a4">
    <w:name w:val="footer"/>
    <w:basedOn w:val="a"/>
    <w:link w:val="Char0"/>
    <w:uiPriority w:val="99"/>
    <w:semiHidden/>
    <w:unhideWhenUsed/>
    <w:rsid w:val="00F760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606A"/>
    <w:rPr>
      <w:sz w:val="18"/>
      <w:szCs w:val="18"/>
    </w:rPr>
  </w:style>
  <w:style w:type="paragraph" w:styleId="a5">
    <w:name w:val="Normal (Web)"/>
    <w:basedOn w:val="a"/>
    <w:uiPriority w:val="99"/>
    <w:unhideWhenUsed/>
    <w:rsid w:val="00F7606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10020246">
      <w:bodyDiv w:val="1"/>
      <w:marLeft w:val="0"/>
      <w:marRight w:val="0"/>
      <w:marTop w:val="0"/>
      <w:marBottom w:val="0"/>
      <w:divBdr>
        <w:top w:val="none" w:sz="0" w:space="0" w:color="auto"/>
        <w:left w:val="none" w:sz="0" w:space="0" w:color="auto"/>
        <w:bottom w:val="none" w:sz="0" w:space="0" w:color="auto"/>
        <w:right w:val="none" w:sz="0" w:space="0" w:color="auto"/>
      </w:divBdr>
      <w:divsChild>
        <w:div w:id="1297298335">
          <w:marLeft w:val="0"/>
          <w:marRight w:val="0"/>
          <w:marTop w:val="100"/>
          <w:marBottom w:val="100"/>
          <w:divBdr>
            <w:top w:val="none" w:sz="0" w:space="0" w:color="auto"/>
            <w:left w:val="none" w:sz="0" w:space="0" w:color="auto"/>
            <w:bottom w:val="none" w:sz="0" w:space="0" w:color="auto"/>
            <w:right w:val="none" w:sz="0" w:space="0" w:color="auto"/>
          </w:divBdr>
          <w:divsChild>
            <w:div w:id="700011334">
              <w:marLeft w:val="0"/>
              <w:marRight w:val="0"/>
              <w:marTop w:val="100"/>
              <w:marBottom w:val="100"/>
              <w:divBdr>
                <w:top w:val="none" w:sz="0" w:space="0" w:color="auto"/>
                <w:left w:val="none" w:sz="0" w:space="0" w:color="auto"/>
                <w:bottom w:val="none" w:sz="0" w:space="0" w:color="auto"/>
                <w:right w:val="none" w:sz="0" w:space="0" w:color="auto"/>
              </w:divBdr>
              <w:divsChild>
                <w:div w:id="1329093793">
                  <w:marLeft w:val="0"/>
                  <w:marRight w:val="0"/>
                  <w:marTop w:val="100"/>
                  <w:marBottom w:val="100"/>
                  <w:divBdr>
                    <w:top w:val="single" w:sz="18" w:space="0" w:color="DC1802"/>
                    <w:left w:val="single" w:sz="6" w:space="0" w:color="E8E8E6"/>
                    <w:bottom w:val="single" w:sz="6" w:space="0" w:color="E8E8E6"/>
                    <w:right w:val="single" w:sz="6" w:space="0" w:color="E8E8E6"/>
                  </w:divBdr>
                  <w:divsChild>
                    <w:div w:id="1813984822">
                      <w:marLeft w:val="0"/>
                      <w:marRight w:val="0"/>
                      <w:marTop w:val="100"/>
                      <w:marBottom w:val="100"/>
                      <w:divBdr>
                        <w:top w:val="single" w:sz="6" w:space="0" w:color="E8E8E6"/>
                        <w:left w:val="single" w:sz="6" w:space="0" w:color="E8E8E6"/>
                        <w:bottom w:val="single" w:sz="6" w:space="0" w:color="E8E8E6"/>
                        <w:right w:val="single" w:sz="6" w:space="0" w:color="E8E8E6"/>
                      </w:divBdr>
                      <w:divsChild>
                        <w:div w:id="1108816580">
                          <w:marLeft w:val="0"/>
                          <w:marRight w:val="0"/>
                          <w:marTop w:val="100"/>
                          <w:marBottom w:val="100"/>
                          <w:divBdr>
                            <w:top w:val="none" w:sz="0" w:space="0" w:color="auto"/>
                            <w:left w:val="none" w:sz="0" w:space="0" w:color="auto"/>
                            <w:bottom w:val="none" w:sz="0" w:space="0" w:color="auto"/>
                            <w:right w:val="none" w:sz="0" w:space="0" w:color="auto"/>
                          </w:divBdr>
                        </w:div>
                        <w:div w:id="817457859">
                          <w:marLeft w:val="0"/>
                          <w:marRight w:val="0"/>
                          <w:marTop w:val="100"/>
                          <w:marBottom w:val="100"/>
                          <w:divBdr>
                            <w:top w:val="none" w:sz="0" w:space="0" w:color="auto"/>
                            <w:left w:val="none" w:sz="0" w:space="0" w:color="auto"/>
                            <w:bottom w:val="none" w:sz="0" w:space="0" w:color="auto"/>
                            <w:right w:val="none" w:sz="0" w:space="0" w:color="auto"/>
                          </w:divBdr>
                        </w:div>
                        <w:div w:id="1845363542">
                          <w:marLeft w:val="0"/>
                          <w:marRight w:val="0"/>
                          <w:marTop w:val="100"/>
                          <w:marBottom w:val="100"/>
                          <w:divBdr>
                            <w:top w:val="none" w:sz="0" w:space="0" w:color="auto"/>
                            <w:left w:val="none" w:sz="0" w:space="0" w:color="auto"/>
                            <w:bottom w:val="none" w:sz="0" w:space="0" w:color="auto"/>
                            <w:right w:val="none" w:sz="0" w:space="0" w:color="auto"/>
                          </w:divBdr>
                        </w:div>
                        <w:div w:id="291064046">
                          <w:marLeft w:val="0"/>
                          <w:marRight w:val="0"/>
                          <w:marTop w:val="100"/>
                          <w:marBottom w:val="100"/>
                          <w:divBdr>
                            <w:top w:val="none" w:sz="0" w:space="0" w:color="auto"/>
                            <w:left w:val="none" w:sz="0" w:space="0" w:color="auto"/>
                            <w:bottom w:val="none" w:sz="0" w:space="0" w:color="auto"/>
                            <w:right w:val="none" w:sz="0" w:space="0" w:color="auto"/>
                          </w:divBdr>
                          <w:divsChild>
                            <w:div w:id="20296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li</cp:lastModifiedBy>
  <cp:revision>2</cp:revision>
  <dcterms:created xsi:type="dcterms:W3CDTF">2017-12-04T04:06:00Z</dcterms:created>
  <dcterms:modified xsi:type="dcterms:W3CDTF">2017-12-04T04:07:00Z</dcterms:modified>
</cp:coreProperties>
</file>