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61" w:rsidRDefault="00DC153B">
      <w:pPr>
        <w:widowControl/>
        <w:spacing w:line="360" w:lineRule="auto"/>
        <w:ind w:firstLineChars="300" w:firstLine="1080"/>
        <w:outlineLvl w:val="1"/>
        <w:rPr>
          <w:rFonts w:ascii="方正小标宋简体" w:eastAsia="方正小标宋简体" w:cs="宋体"/>
          <w:color w:val="333333"/>
          <w:kern w:val="0"/>
          <w:sz w:val="36"/>
          <w:szCs w:val="36"/>
          <w:shd w:val="clear" w:color="auto" w:fill="FFFFFF"/>
        </w:rPr>
      </w:pPr>
      <w:r>
        <w:rPr>
          <w:rFonts w:ascii="方正小标宋简体" w:eastAsia="方正小标宋简体" w:hAnsi="Calibri" w:cs="宋体" w:hint="eastAsia"/>
          <w:color w:val="333333"/>
          <w:kern w:val="0"/>
          <w:sz w:val="36"/>
          <w:szCs w:val="36"/>
          <w:shd w:val="clear" w:color="auto" w:fill="FFFFFF"/>
        </w:rPr>
        <w:t>莆田市教师进修学院（附属小学教学综合楼D）</w:t>
      </w:r>
    </w:p>
    <w:p w:rsidR="004F7B61" w:rsidRDefault="00DC153B">
      <w:pPr>
        <w:widowControl/>
        <w:shd w:val="clear" w:color="auto" w:fill="FFFFFF"/>
        <w:spacing w:line="600" w:lineRule="atLeast"/>
        <w:jc w:val="center"/>
        <w:rPr>
          <w:rFonts w:asciiTheme="minorEastAsia" w:hAnsiTheme="minorEastAsia" w:cs="Calibri"/>
          <w:b/>
          <w:color w:val="000000"/>
          <w:kern w:val="0"/>
          <w:sz w:val="30"/>
          <w:szCs w:val="30"/>
          <w:shd w:val="clear" w:color="auto" w:fill="FFFFFF"/>
        </w:rPr>
      </w:pPr>
      <w:r>
        <w:rPr>
          <w:rFonts w:ascii="方正小标宋简体" w:eastAsia="方正小标宋简体" w:cs="宋体"/>
          <w:color w:val="333333"/>
          <w:kern w:val="0"/>
          <w:sz w:val="36"/>
          <w:szCs w:val="36"/>
          <w:shd w:val="clear" w:color="auto" w:fill="FFFFFF"/>
        </w:rPr>
        <w:t>选择代理机构招标公告</w:t>
      </w:r>
    </w:p>
    <w:p w:rsidR="004F7B61" w:rsidRDefault="004F7B61">
      <w:pPr>
        <w:spacing w:line="360" w:lineRule="auto"/>
        <w:rPr>
          <w:rFonts w:asciiTheme="minorEastAsia" w:hAnsiTheme="minorEastAsia"/>
          <w:sz w:val="24"/>
          <w:szCs w:val="24"/>
        </w:rPr>
      </w:pPr>
    </w:p>
    <w:p w:rsidR="004F7B61" w:rsidRDefault="00DC153B">
      <w:pPr>
        <w:widowControl/>
        <w:spacing w:line="360" w:lineRule="auto"/>
        <w:ind w:firstLineChars="300" w:firstLine="723"/>
        <w:outlineLvl w:val="1"/>
        <w:rPr>
          <w:rFonts w:asciiTheme="minorEastAsia" w:hAnsiTheme="minorEastAsia"/>
          <w:color w:val="333333"/>
          <w:sz w:val="24"/>
          <w:szCs w:val="24"/>
          <w:shd w:val="clear" w:color="auto" w:fill="FFFFFF"/>
        </w:rPr>
      </w:pPr>
      <w:r>
        <w:rPr>
          <w:rFonts w:asciiTheme="minorEastAsia" w:hAnsiTheme="minorEastAsia" w:cs="Calibri" w:hint="eastAsia"/>
          <w:b/>
          <w:color w:val="333333"/>
          <w:kern w:val="0"/>
          <w:sz w:val="24"/>
          <w:szCs w:val="24"/>
          <w:u w:val="single"/>
          <w:shd w:val="clear" w:color="auto" w:fill="FFFFFF"/>
        </w:rPr>
        <w:t>莆田市教师进修学院</w:t>
      </w:r>
      <w:r>
        <w:rPr>
          <w:rFonts w:asciiTheme="minorEastAsia" w:hAnsiTheme="minorEastAsia" w:hint="eastAsia"/>
          <w:color w:val="333333"/>
          <w:sz w:val="24"/>
          <w:szCs w:val="24"/>
          <w:shd w:val="clear" w:color="auto" w:fill="FFFFFF"/>
        </w:rPr>
        <w:t>拟公开选择</w:t>
      </w:r>
      <w:r>
        <w:rPr>
          <w:rFonts w:asciiTheme="minorEastAsia" w:hAnsiTheme="minorEastAsia" w:hint="eastAsia"/>
          <w:b/>
          <w:color w:val="000000"/>
          <w:sz w:val="24"/>
          <w:szCs w:val="24"/>
          <w:u w:val="single"/>
        </w:rPr>
        <w:t>莆田市教师进修学院（附属小学教学综合楼D）</w:t>
      </w:r>
      <w:r>
        <w:rPr>
          <w:rFonts w:asciiTheme="minorEastAsia" w:hAnsiTheme="minorEastAsia" w:hint="eastAsia"/>
          <w:color w:val="000000"/>
          <w:sz w:val="24"/>
          <w:szCs w:val="24"/>
          <w:shd w:val="clear" w:color="auto" w:fill="FFFFFF"/>
        </w:rPr>
        <w:t>招标</w:t>
      </w:r>
      <w:r>
        <w:rPr>
          <w:rFonts w:asciiTheme="minorEastAsia" w:hAnsiTheme="minorEastAsia" w:hint="eastAsia"/>
          <w:color w:val="333333"/>
          <w:sz w:val="24"/>
          <w:szCs w:val="24"/>
          <w:shd w:val="clear" w:color="auto" w:fill="FFFFFF"/>
        </w:rPr>
        <w:t>代理机构，现邀请符合资格标准要求的投标人参加本项目招标代理投标。</w:t>
      </w:r>
      <w:r>
        <w:rPr>
          <w:rFonts w:asciiTheme="minorEastAsia" w:hAnsiTheme="minorEastAsia" w:cs="Calibri" w:hint="eastAsia"/>
          <w:color w:val="333333"/>
          <w:kern w:val="0"/>
          <w:sz w:val="24"/>
          <w:szCs w:val="24"/>
          <w:shd w:val="clear" w:color="auto" w:fill="FFFFFF"/>
        </w:rPr>
        <w:t>邀请的单位：</w:t>
      </w:r>
      <w:r>
        <w:rPr>
          <w:rFonts w:asciiTheme="minorEastAsia" w:hAnsiTheme="minorEastAsia" w:cs="Calibri" w:hint="eastAsia"/>
          <w:color w:val="333333"/>
          <w:kern w:val="0"/>
          <w:sz w:val="24"/>
          <w:szCs w:val="24"/>
          <w:u w:val="single"/>
          <w:shd w:val="clear" w:color="auto" w:fill="FFFFFF"/>
        </w:rPr>
        <w:t>上海银鑫建设咨询有限公司、杭州广厦建筑咨询有限公司、福建互华土木工程管理有限公司</w:t>
      </w:r>
      <w:r>
        <w:rPr>
          <w:rFonts w:asciiTheme="minorEastAsia" w:hAnsiTheme="minorEastAsia" w:cs="Calibri" w:hint="eastAsia"/>
          <w:color w:val="333333"/>
          <w:kern w:val="0"/>
          <w:sz w:val="24"/>
          <w:szCs w:val="24"/>
          <w:shd w:val="clear" w:color="auto" w:fill="FFFFFF"/>
        </w:rPr>
        <w:t>。</w:t>
      </w:r>
      <w:r>
        <w:rPr>
          <w:rFonts w:asciiTheme="minorEastAsia" w:hAnsiTheme="minorEastAsia" w:hint="eastAsia"/>
          <w:color w:val="333333"/>
          <w:sz w:val="24"/>
          <w:szCs w:val="24"/>
          <w:shd w:val="clear" w:color="auto" w:fill="FFFFFF"/>
        </w:rPr>
        <w:t>现将有关事项公告如下：</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一、项目简介</w:t>
      </w:r>
    </w:p>
    <w:p w:rsidR="004F7B61" w:rsidRDefault="00DC153B">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1．名 称：</w:t>
      </w:r>
      <w:r>
        <w:rPr>
          <w:rFonts w:asciiTheme="minorEastAsia" w:hAnsiTheme="minorEastAsia" w:cs="Calibri" w:hint="eastAsia"/>
          <w:color w:val="333333"/>
          <w:kern w:val="0"/>
          <w:sz w:val="24"/>
          <w:szCs w:val="24"/>
          <w:u w:val="single"/>
          <w:shd w:val="clear" w:color="auto" w:fill="FFFFFF"/>
        </w:rPr>
        <w:t>莆田市教师进修学院（附属小学教学综合楼D）</w:t>
      </w:r>
    </w:p>
    <w:p w:rsidR="004F7B61" w:rsidRDefault="00DC153B">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u w:val="single"/>
          <w:shd w:val="clear" w:color="auto" w:fill="FFFFFF"/>
        </w:rPr>
      </w:pPr>
      <w:r>
        <w:rPr>
          <w:rFonts w:asciiTheme="minorEastAsia" w:hAnsiTheme="minorEastAsia" w:cs="Calibri" w:hint="eastAsia"/>
          <w:color w:val="333333"/>
          <w:kern w:val="0"/>
          <w:sz w:val="24"/>
          <w:szCs w:val="24"/>
          <w:shd w:val="clear" w:color="auto" w:fill="FFFFFF"/>
        </w:rPr>
        <w:t>2．地 点：</w:t>
      </w:r>
      <w:r>
        <w:rPr>
          <w:rFonts w:asciiTheme="minorEastAsia" w:hAnsiTheme="minorEastAsia" w:cs="Calibri" w:hint="eastAsia"/>
          <w:color w:val="333333"/>
          <w:kern w:val="0"/>
          <w:sz w:val="24"/>
          <w:szCs w:val="24"/>
          <w:u w:val="single"/>
          <w:shd w:val="clear" w:color="auto" w:fill="FFFFFF"/>
        </w:rPr>
        <w:t xml:space="preserve"> 莆田市荔城区  </w:t>
      </w:r>
    </w:p>
    <w:p w:rsidR="004F7B61" w:rsidRDefault="00DC153B">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3．总投资额：</w:t>
      </w:r>
      <w:r>
        <w:rPr>
          <w:rFonts w:asciiTheme="minorEastAsia" w:hAnsiTheme="minorEastAsia" w:cs="Calibri"/>
          <w:color w:val="333333"/>
          <w:kern w:val="0"/>
          <w:sz w:val="24"/>
          <w:szCs w:val="24"/>
          <w:u w:val="single"/>
          <w:shd w:val="clear" w:color="auto" w:fill="FFFFFF"/>
        </w:rPr>
        <w:t> 估算价</w:t>
      </w:r>
      <w:r>
        <w:rPr>
          <w:rFonts w:asciiTheme="minorEastAsia" w:hAnsiTheme="minorEastAsia" w:cs="Calibri" w:hint="eastAsia"/>
          <w:color w:val="333333"/>
          <w:kern w:val="0"/>
          <w:sz w:val="24"/>
          <w:szCs w:val="24"/>
          <w:u w:val="single"/>
          <w:shd w:val="clear" w:color="auto" w:fill="FFFFFF"/>
        </w:rPr>
        <w:t>约3000</w:t>
      </w:r>
      <w:r>
        <w:rPr>
          <w:rFonts w:asciiTheme="minorEastAsia" w:hAnsiTheme="minorEastAsia" w:cs="Calibri"/>
          <w:color w:val="333333"/>
          <w:kern w:val="0"/>
          <w:sz w:val="24"/>
          <w:szCs w:val="24"/>
          <w:u w:val="single"/>
          <w:shd w:val="clear" w:color="auto" w:fill="FFFFFF"/>
        </w:rPr>
        <w:t>万元</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二、代理范围</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编制</w:t>
      </w:r>
      <w:r>
        <w:rPr>
          <w:rFonts w:asciiTheme="minorEastAsia" w:hAnsiTheme="minorEastAsia" w:cs="Calibri" w:hint="eastAsia"/>
          <w:color w:val="333333"/>
          <w:kern w:val="0"/>
          <w:sz w:val="24"/>
          <w:szCs w:val="24"/>
          <w:u w:val="single"/>
          <w:shd w:val="clear" w:color="auto" w:fill="FFFFFF"/>
        </w:rPr>
        <w:t xml:space="preserve"> 本工程</w:t>
      </w:r>
      <w:r>
        <w:rPr>
          <w:rFonts w:asciiTheme="minorEastAsia" w:hAnsiTheme="minorEastAsia" w:cs="宋体" w:hint="eastAsia"/>
          <w:kern w:val="1"/>
          <w:sz w:val="24"/>
          <w:u w:val="single"/>
        </w:rPr>
        <w:t xml:space="preserve">勘察、设计、施工、监理、检测、监测等项目招标文件、资格审查文件、工程量清单、工程答疑、工程预算价（施工图预算及工程量清单文件编制盖章后经委托人同意报相关部门审核）、工程最高限价、工程管理参考价等相关文件，经有关部门备案后送交市行政服务中心发布；组织开标、评标并发布评标结果公示并整理招投标全过程资料；提供相关业务咨询、协助签订合同等招标全过程服务 </w:t>
      </w:r>
      <w:r>
        <w:rPr>
          <w:rFonts w:asciiTheme="minorEastAsia" w:hAnsiTheme="minorEastAsia" w:cs="宋体" w:hint="eastAsia"/>
          <w:kern w:val="1"/>
          <w:sz w:val="24"/>
        </w:rPr>
        <w:t>。</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三、代理服务费</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1.工程招标代理服务费按照国家发改委（发改价格〔2011〕534号和福建省物价局（闽价服〔2011〕124号）文规定收费标准的</w:t>
      </w:r>
      <w:r w:rsidR="00BA5798">
        <w:rPr>
          <w:rFonts w:asciiTheme="minorEastAsia" w:hAnsiTheme="minorEastAsia" w:cs="Calibri" w:hint="eastAsia"/>
          <w:color w:val="333333"/>
          <w:kern w:val="0"/>
          <w:sz w:val="24"/>
          <w:szCs w:val="24"/>
          <w:shd w:val="clear" w:color="auto" w:fill="FFFFFF"/>
        </w:rPr>
        <w:t>折扣率</w:t>
      </w:r>
      <w:r>
        <w:rPr>
          <w:rFonts w:asciiTheme="minorEastAsia" w:hAnsiTheme="minorEastAsia" w:cs="Calibri" w:hint="eastAsia"/>
          <w:color w:val="333333"/>
          <w:kern w:val="0"/>
          <w:sz w:val="24"/>
          <w:szCs w:val="24"/>
          <w:shd w:val="clear" w:color="auto" w:fill="FFFFFF"/>
        </w:rPr>
        <w:t>计取，按委托方实际委托代理项目每次开标分别计算（是以中标价为计费基数，含专家评审费、交通费及工作餐餐费等有关费用，不包括场地使用费、交易服务费），若招标失败重新招标，不再追加代理服务费。</w:t>
      </w:r>
      <w:r w:rsidR="00BA5798">
        <w:rPr>
          <w:rFonts w:asciiTheme="minorEastAsia" w:hAnsiTheme="minorEastAsia" w:cs="Calibri" w:hint="eastAsia"/>
          <w:color w:val="333333"/>
          <w:kern w:val="0"/>
          <w:sz w:val="24"/>
          <w:szCs w:val="24"/>
          <w:shd w:val="clear" w:color="auto" w:fill="FFFFFF"/>
        </w:rPr>
        <w:t>每次代理费最低收费为3000元，</w:t>
      </w:r>
      <w:r>
        <w:rPr>
          <w:rFonts w:asciiTheme="minorEastAsia" w:hAnsiTheme="minorEastAsia" w:cs="Calibri" w:hint="eastAsia"/>
          <w:color w:val="333333"/>
          <w:kern w:val="0"/>
          <w:sz w:val="24"/>
          <w:szCs w:val="24"/>
          <w:shd w:val="clear" w:color="auto" w:fill="FFFFFF"/>
        </w:rPr>
        <w:t>代理费在施工招标合同签订后全部付清。</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2.工程造价咨询服务费按福建省物价局（闽价[2002]457号）文规定收费标准的</w:t>
      </w:r>
      <w:r w:rsidR="00BA5798">
        <w:rPr>
          <w:rFonts w:asciiTheme="minorEastAsia" w:hAnsiTheme="minorEastAsia" w:cs="Calibri" w:hint="eastAsia"/>
          <w:color w:val="333333"/>
          <w:kern w:val="0"/>
          <w:sz w:val="24"/>
          <w:szCs w:val="24"/>
          <w:shd w:val="clear" w:color="auto" w:fill="FFFFFF"/>
        </w:rPr>
        <w:t>折扣率</w:t>
      </w:r>
      <w:r>
        <w:rPr>
          <w:rFonts w:asciiTheme="minorEastAsia" w:hAnsiTheme="minorEastAsia" w:cs="Calibri" w:hint="eastAsia"/>
          <w:color w:val="333333"/>
          <w:kern w:val="0"/>
          <w:sz w:val="24"/>
          <w:szCs w:val="24"/>
          <w:shd w:val="clear" w:color="auto" w:fill="FFFFFF"/>
        </w:rPr>
        <w:t>计取，按委托方实际委托代理项目每次开标分别计算（以财政审核后的工程预算价为计费基数）,造价咨询服务费在施工招标合同签订后全部付清。</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 xml:space="preserve">3. </w:t>
      </w:r>
      <w:r w:rsidR="00AE348E">
        <w:rPr>
          <w:rFonts w:asciiTheme="minorEastAsia" w:hAnsiTheme="minorEastAsia" w:cs="Calibri" w:hint="eastAsia"/>
          <w:color w:val="333333"/>
          <w:kern w:val="0"/>
          <w:sz w:val="24"/>
          <w:szCs w:val="24"/>
          <w:shd w:val="clear" w:color="auto" w:fill="FFFFFF"/>
        </w:rPr>
        <w:t>上述代理范围内所有事项的招标代理服务费及工程造价咨询费</w:t>
      </w:r>
      <w:r w:rsidR="004E690F">
        <w:rPr>
          <w:rFonts w:asciiTheme="minorEastAsia" w:hAnsiTheme="minorEastAsia" w:cs="Calibri" w:hint="eastAsia"/>
          <w:color w:val="333333"/>
          <w:kern w:val="0"/>
          <w:sz w:val="24"/>
          <w:szCs w:val="24"/>
          <w:shd w:val="clear" w:color="auto" w:fill="FFFFFF"/>
        </w:rPr>
        <w:t>规定收费标准的</w:t>
      </w:r>
      <w:r w:rsidR="00AE348E">
        <w:rPr>
          <w:rFonts w:asciiTheme="minorEastAsia" w:hAnsiTheme="minorEastAsia" w:cs="Calibri" w:hint="eastAsia"/>
          <w:color w:val="333333"/>
          <w:kern w:val="0"/>
          <w:sz w:val="24"/>
          <w:szCs w:val="24"/>
          <w:shd w:val="clear" w:color="auto" w:fill="FFFFFF"/>
        </w:rPr>
        <w:t>折扣率不得高于80%</w:t>
      </w:r>
      <w:r>
        <w:rPr>
          <w:rFonts w:asciiTheme="minorEastAsia" w:hAnsiTheme="minorEastAsia" w:cs="Calibri" w:hint="eastAsia"/>
          <w:color w:val="333333"/>
          <w:kern w:val="0"/>
          <w:sz w:val="24"/>
          <w:szCs w:val="24"/>
          <w:shd w:val="clear" w:color="auto" w:fill="FFFFFF"/>
        </w:rPr>
        <w:t>(总费用控制在18万以内)，由招标人支付。</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四、投标人应具备的资格条件</w:t>
      </w:r>
    </w:p>
    <w:p w:rsidR="004F7B61" w:rsidRDefault="00DC153B">
      <w:pPr>
        <w:pStyle w:val="a5"/>
        <w:shd w:val="clear" w:color="auto" w:fill="FFFFFF"/>
        <w:wordWrap w:val="0"/>
        <w:spacing w:before="0" w:beforeAutospacing="0" w:after="0" w:afterAutospacing="0" w:line="360" w:lineRule="auto"/>
        <w:ind w:firstLine="560"/>
        <w:rPr>
          <w:rFonts w:asciiTheme="minorEastAsia" w:eastAsiaTheme="minorEastAsia" w:hAnsiTheme="minorEastAsia" w:cs="Calibri"/>
          <w:color w:val="333333"/>
          <w:shd w:val="clear" w:color="auto" w:fill="FFFFFF"/>
        </w:rPr>
      </w:pPr>
      <w:r>
        <w:rPr>
          <w:rFonts w:asciiTheme="minorEastAsia" w:eastAsiaTheme="minorEastAsia" w:hAnsiTheme="minorEastAsia" w:cs="Calibri" w:hint="eastAsia"/>
          <w:color w:val="333333"/>
          <w:shd w:val="clear" w:color="auto" w:fill="FFFFFF"/>
        </w:rPr>
        <w:lastRenderedPageBreak/>
        <w:t>1．投标人须具备建设行政主管部门核发的工程造价咨询甲级的有效资质。</w:t>
      </w:r>
    </w:p>
    <w:p w:rsidR="004F7B61" w:rsidRDefault="00DC153B">
      <w:pPr>
        <w:pStyle w:val="a5"/>
        <w:shd w:val="clear" w:color="auto" w:fill="FFFFFF"/>
        <w:wordWrap w:val="0"/>
        <w:spacing w:before="0" w:beforeAutospacing="0" w:after="0" w:afterAutospacing="0" w:line="360" w:lineRule="auto"/>
        <w:ind w:firstLine="560"/>
        <w:rPr>
          <w:rFonts w:asciiTheme="minorEastAsia" w:eastAsiaTheme="minorEastAsia" w:hAnsiTheme="minorEastAsia" w:cs="Calibri"/>
          <w:color w:val="333333"/>
          <w:shd w:val="clear" w:color="auto" w:fill="FFFFFF"/>
        </w:rPr>
      </w:pPr>
      <w:r>
        <w:rPr>
          <w:rFonts w:asciiTheme="minorEastAsia" w:eastAsiaTheme="minorEastAsia" w:hAnsiTheme="minorEastAsia" w:cs="Calibri" w:hint="eastAsia"/>
          <w:color w:val="333333"/>
          <w:shd w:val="clear" w:color="auto" w:fill="FFFFFF"/>
        </w:rPr>
        <w:t>2.在莆田市住房和城乡建设局最新发布的建设工程预算编制单位名录库内的企业。</w:t>
      </w:r>
    </w:p>
    <w:p w:rsidR="004F7B61" w:rsidRDefault="00DC153B">
      <w:pPr>
        <w:pStyle w:val="a5"/>
        <w:shd w:val="clear" w:color="auto" w:fill="FFFFFF"/>
        <w:wordWrap w:val="0"/>
        <w:spacing w:before="0" w:beforeAutospacing="0" w:after="0" w:afterAutospacing="0" w:line="360" w:lineRule="auto"/>
        <w:ind w:firstLine="560"/>
        <w:rPr>
          <w:rFonts w:asciiTheme="minorEastAsia" w:eastAsiaTheme="minorEastAsia" w:hAnsiTheme="minorEastAsia" w:cs="Calibri"/>
          <w:color w:val="333333"/>
          <w:shd w:val="clear" w:color="auto" w:fill="FFFFFF"/>
        </w:rPr>
      </w:pPr>
      <w:r>
        <w:rPr>
          <w:rFonts w:asciiTheme="minorEastAsia" w:eastAsiaTheme="minorEastAsia" w:hAnsiTheme="minorEastAsia" w:cs="Calibri" w:hint="eastAsia"/>
          <w:color w:val="333333"/>
          <w:shd w:val="clear" w:color="auto" w:fill="FFFFFF"/>
        </w:rPr>
        <w:t>3.投标人必须具备独立的法人资格，并具备有效的企业营业执照；营业执照经营范围内应含有工程招标代理。</w:t>
      </w:r>
    </w:p>
    <w:p w:rsidR="004F7B61" w:rsidRDefault="00DC153B">
      <w:pPr>
        <w:widowControl/>
        <w:snapToGrid w:val="0"/>
        <w:spacing w:line="360" w:lineRule="auto"/>
        <w:ind w:firstLineChars="200" w:firstLine="48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4. 投标人应为招标人邀请的单位。</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五、应提交的材料</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1．参加随机抽取的招标代理机构须提供</w:t>
      </w:r>
      <w:r w:rsidR="006B3345" w:rsidRPr="006B3345">
        <w:rPr>
          <w:rFonts w:asciiTheme="minorEastAsia" w:hAnsiTheme="minorEastAsia" w:cs="Calibri" w:hint="eastAsia"/>
          <w:color w:val="333333"/>
          <w:kern w:val="0"/>
          <w:sz w:val="24"/>
          <w:szCs w:val="24"/>
          <w:shd w:val="clear" w:color="auto" w:fill="FFFFFF"/>
        </w:rPr>
        <w:t>工程造价咨询</w:t>
      </w:r>
      <w:r>
        <w:rPr>
          <w:rFonts w:asciiTheme="minorEastAsia" w:hAnsiTheme="minorEastAsia" w:cs="Calibri" w:hint="eastAsia"/>
          <w:color w:val="333333"/>
          <w:kern w:val="0"/>
          <w:sz w:val="24"/>
          <w:szCs w:val="24"/>
          <w:shd w:val="clear" w:color="auto" w:fill="FFFFFF"/>
        </w:rPr>
        <w:t>资质证书副本、企业工商营业执照副本，上述材料须提供原件和复印件。</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2．法定代表人参加报名的须随带本人身份证原件及复印件；法定代表人授权其它人员参加报名的，还应提交法定代表人授权委托书及被授权人身份证原件及复印件。</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六、材料提交时间及地点</w:t>
      </w:r>
    </w:p>
    <w:p w:rsidR="004F7B61" w:rsidRDefault="00DC153B">
      <w:pPr>
        <w:widowControl/>
        <w:shd w:val="clear" w:color="auto" w:fill="FFFFFF"/>
        <w:wordWrap w:val="0"/>
        <w:spacing w:line="360" w:lineRule="auto"/>
        <w:ind w:left="105" w:firstLine="42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投标文件递交的截止时间(投标截止时间)：2021年1月29日下午15:00分，逾期不予接收。</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材料提交地点：莆田市教师进修学院附属小学力行楼四层小会议室</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七、</w:t>
      </w:r>
      <w:r w:rsidR="00BA5798" w:rsidRPr="00BA5798">
        <w:rPr>
          <w:rFonts w:asciiTheme="minorEastAsia" w:hAnsiTheme="minorEastAsia" w:cs="Calibri" w:hint="eastAsia"/>
          <w:b/>
          <w:color w:val="333333"/>
          <w:kern w:val="0"/>
          <w:sz w:val="24"/>
          <w:szCs w:val="24"/>
          <w:shd w:val="clear" w:color="auto" w:fill="FFFFFF"/>
        </w:rPr>
        <w:t>中标单位确定的方式</w:t>
      </w:r>
    </w:p>
    <w:p w:rsidR="00A873A9" w:rsidRPr="00A873A9" w:rsidRDefault="00A873A9" w:rsidP="00A873A9">
      <w:pPr>
        <w:widowControl/>
        <w:spacing w:line="360" w:lineRule="auto"/>
        <w:ind w:firstLine="640"/>
        <w:rPr>
          <w:rFonts w:asciiTheme="minorEastAsia" w:hAnsiTheme="minorEastAsia" w:cs="Calibri"/>
          <w:color w:val="333333"/>
          <w:kern w:val="0"/>
          <w:sz w:val="24"/>
          <w:szCs w:val="24"/>
          <w:shd w:val="clear" w:color="auto" w:fill="FFFFFF"/>
        </w:rPr>
      </w:pPr>
      <w:r w:rsidRPr="00A873A9">
        <w:rPr>
          <w:rFonts w:asciiTheme="minorEastAsia" w:hAnsiTheme="minorEastAsia" w:cs="Calibri" w:hint="eastAsia"/>
          <w:color w:val="333333"/>
          <w:kern w:val="0"/>
          <w:sz w:val="24"/>
          <w:szCs w:val="24"/>
          <w:shd w:val="clear" w:color="auto" w:fill="FFFFFF"/>
        </w:rPr>
        <w:t>1、本项目采取从投标人中选择投标报价最低（低于最高限价）且资格条件核对合格的方式确定中标单位；</w:t>
      </w:r>
    </w:p>
    <w:p w:rsidR="004F7B61" w:rsidRPr="00A873A9" w:rsidRDefault="00A873A9" w:rsidP="00A873A9">
      <w:pPr>
        <w:widowControl/>
        <w:spacing w:line="360" w:lineRule="auto"/>
        <w:ind w:firstLine="640"/>
        <w:rPr>
          <w:rFonts w:asciiTheme="minorEastAsia" w:hAnsiTheme="minorEastAsia" w:cs="Calibri"/>
          <w:color w:val="333333"/>
          <w:kern w:val="0"/>
          <w:sz w:val="24"/>
          <w:szCs w:val="24"/>
          <w:shd w:val="clear" w:color="auto" w:fill="FFFFFF"/>
        </w:rPr>
      </w:pPr>
      <w:r w:rsidRPr="00A873A9">
        <w:rPr>
          <w:rFonts w:asciiTheme="minorEastAsia" w:hAnsiTheme="minorEastAsia" w:cs="Calibri" w:hint="eastAsia"/>
          <w:color w:val="333333"/>
          <w:kern w:val="0"/>
          <w:sz w:val="24"/>
          <w:szCs w:val="24"/>
          <w:shd w:val="clear" w:color="auto" w:fill="FFFFFF"/>
        </w:rPr>
        <w:t>2、若投标报价最低的投标人有两家或以上的。采取随机抽取中标的方式从报价最低且资格条件核对合格的投标人中确定中标单位；</w:t>
      </w:r>
    </w:p>
    <w:p w:rsidR="004F7B61" w:rsidRDefault="00DC153B">
      <w:pPr>
        <w:widowControl/>
        <w:shd w:val="clear" w:color="auto" w:fill="FFFFFF"/>
        <w:wordWrap w:val="0"/>
        <w:spacing w:line="360" w:lineRule="auto"/>
        <w:ind w:firstLineChars="100" w:firstLine="241"/>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八、招标工作要求</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1．中标的招标代理机构必须在抽签确定后3天内与业主签订建设工程招标代理合同（不得以分支机构名义签订），逾期不签订的取消其中标资格。</w:t>
      </w:r>
    </w:p>
    <w:p w:rsidR="004F7B61" w:rsidRDefault="00DC153B">
      <w:pPr>
        <w:widowControl/>
        <w:shd w:val="clear" w:color="auto" w:fill="FFFFFF"/>
        <w:wordWrap w:val="0"/>
        <w:spacing w:line="360" w:lineRule="auto"/>
        <w:ind w:firstLine="56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2．中标的招标代理机构应在领取施工图设计文件后，在合理时间内完成招标文件、资格后审文件、工程量清单及工程量计算书（附工程量计算书及电子光盘）、招标答疑、工程预算价、工程最高限价和工程管理参考价编制工作，并送有关部门备案并发布招标信息。组织开标、评标并发布评标结果公示。提供相关业务咨询并协助业主签订合同。工程量清单编制有错、漏和重大缺陷等情况的，按造成的损失赔偿相应的酬金。</w:t>
      </w:r>
    </w:p>
    <w:p w:rsidR="004F7B61" w:rsidRDefault="00DC153B">
      <w:pPr>
        <w:widowControl/>
        <w:shd w:val="clear" w:color="auto" w:fill="FFFFFF"/>
        <w:wordWrap w:val="0"/>
        <w:spacing w:line="360" w:lineRule="auto"/>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九、公告时间 </w:t>
      </w:r>
    </w:p>
    <w:p w:rsidR="004F7B61" w:rsidRDefault="00DC153B">
      <w:pPr>
        <w:widowControl/>
        <w:shd w:val="clear" w:color="auto" w:fill="FFFFFF"/>
        <w:wordWrap w:val="0"/>
        <w:spacing w:line="360" w:lineRule="auto"/>
        <w:ind w:left="279" w:firstLine="464"/>
        <w:jc w:val="left"/>
        <w:rPr>
          <w:rFonts w:asciiTheme="minorEastAsia" w:hAnsiTheme="minorEastAsia" w:cs="Calibri"/>
          <w:color w:val="333333"/>
          <w:kern w:val="0"/>
          <w:sz w:val="24"/>
          <w:szCs w:val="24"/>
          <w:shd w:val="clear" w:color="auto" w:fill="FFFFFF"/>
        </w:rPr>
      </w:pPr>
      <w:r>
        <w:rPr>
          <w:rFonts w:asciiTheme="minorEastAsia" w:hAnsiTheme="minorEastAsia" w:cs="Calibri"/>
          <w:color w:val="333333"/>
          <w:kern w:val="0"/>
          <w:sz w:val="24"/>
          <w:szCs w:val="24"/>
          <w:shd w:val="clear" w:color="auto" w:fill="FFFFFF"/>
        </w:rPr>
        <w:t>20</w:t>
      </w:r>
      <w:r>
        <w:rPr>
          <w:rFonts w:asciiTheme="minorEastAsia" w:hAnsiTheme="minorEastAsia" w:cs="Calibri" w:hint="eastAsia"/>
          <w:color w:val="333333"/>
          <w:kern w:val="0"/>
          <w:sz w:val="24"/>
          <w:szCs w:val="24"/>
          <w:shd w:val="clear" w:color="auto" w:fill="FFFFFF"/>
        </w:rPr>
        <w:t>21年1月25</w:t>
      </w:r>
      <w:r w:rsidR="002C7721">
        <w:rPr>
          <w:rFonts w:asciiTheme="minorEastAsia" w:hAnsiTheme="minorEastAsia" w:cs="Calibri" w:hint="eastAsia"/>
          <w:color w:val="333333"/>
          <w:kern w:val="0"/>
          <w:sz w:val="24"/>
          <w:szCs w:val="24"/>
          <w:shd w:val="clear" w:color="auto" w:fill="FFFFFF"/>
        </w:rPr>
        <w:t>日下</w:t>
      </w:r>
      <w:r>
        <w:rPr>
          <w:rFonts w:asciiTheme="minorEastAsia" w:hAnsiTheme="minorEastAsia" w:cs="Calibri" w:hint="eastAsia"/>
          <w:color w:val="333333"/>
          <w:kern w:val="0"/>
          <w:sz w:val="24"/>
          <w:szCs w:val="24"/>
          <w:shd w:val="clear" w:color="auto" w:fill="FFFFFF"/>
        </w:rPr>
        <w:t>午</w:t>
      </w:r>
      <w:r w:rsidR="002C7721">
        <w:rPr>
          <w:rFonts w:asciiTheme="minorEastAsia" w:hAnsiTheme="minorEastAsia" w:cs="Calibri" w:hint="eastAsia"/>
          <w:color w:val="333333"/>
          <w:kern w:val="0"/>
          <w:sz w:val="24"/>
          <w:szCs w:val="24"/>
          <w:shd w:val="clear" w:color="auto" w:fill="FFFFFF"/>
        </w:rPr>
        <w:t>15</w:t>
      </w:r>
      <w:r>
        <w:rPr>
          <w:rFonts w:asciiTheme="minorEastAsia" w:hAnsiTheme="minorEastAsia" w:cs="Calibri" w:hint="eastAsia"/>
          <w:color w:val="333333"/>
          <w:kern w:val="0"/>
          <w:sz w:val="24"/>
          <w:szCs w:val="24"/>
          <w:shd w:val="clear" w:color="auto" w:fill="FFFFFF"/>
        </w:rPr>
        <w:t xml:space="preserve"> ：00起至 </w:t>
      </w:r>
      <w:r>
        <w:rPr>
          <w:rFonts w:asciiTheme="minorEastAsia" w:hAnsiTheme="minorEastAsia" w:cs="Calibri"/>
          <w:color w:val="333333"/>
          <w:kern w:val="0"/>
          <w:sz w:val="24"/>
          <w:szCs w:val="24"/>
          <w:shd w:val="clear" w:color="auto" w:fill="FFFFFF"/>
        </w:rPr>
        <w:t>20</w:t>
      </w:r>
      <w:r>
        <w:rPr>
          <w:rFonts w:asciiTheme="minorEastAsia" w:hAnsiTheme="minorEastAsia" w:cs="Calibri" w:hint="eastAsia"/>
          <w:color w:val="333333"/>
          <w:kern w:val="0"/>
          <w:sz w:val="24"/>
          <w:szCs w:val="24"/>
          <w:shd w:val="clear" w:color="auto" w:fill="FFFFFF"/>
        </w:rPr>
        <w:t>21年1月29日下午15：00止。</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lastRenderedPageBreak/>
        <w:t>十、抽取地点</w:t>
      </w:r>
    </w:p>
    <w:p w:rsidR="004F7B61" w:rsidRDefault="00DC153B">
      <w:pPr>
        <w:widowControl/>
        <w:shd w:val="clear" w:color="auto" w:fill="FFFFFF"/>
        <w:wordWrap w:val="0"/>
        <w:spacing w:line="360" w:lineRule="auto"/>
        <w:ind w:firstLineChars="300" w:firstLine="720"/>
        <w:jc w:val="left"/>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莆田市教师进修学院附属小学力行楼四层小会议室</w:t>
      </w:r>
    </w:p>
    <w:p w:rsidR="004F7B61" w:rsidRDefault="00DC153B">
      <w:pPr>
        <w:widowControl/>
        <w:shd w:val="clear" w:color="auto" w:fill="FFFFFF"/>
        <w:wordWrap w:val="0"/>
        <w:spacing w:line="360" w:lineRule="auto"/>
        <w:jc w:val="left"/>
        <w:rPr>
          <w:rFonts w:asciiTheme="minorEastAsia" w:hAnsiTheme="minorEastAsia" w:cs="Calibri"/>
          <w:b/>
          <w:color w:val="333333"/>
          <w:kern w:val="0"/>
          <w:sz w:val="24"/>
          <w:szCs w:val="24"/>
          <w:shd w:val="clear" w:color="auto" w:fill="FFFFFF"/>
        </w:rPr>
      </w:pPr>
      <w:r>
        <w:rPr>
          <w:rFonts w:asciiTheme="minorEastAsia" w:hAnsiTheme="minorEastAsia" w:cs="Calibri" w:hint="eastAsia"/>
          <w:b/>
          <w:color w:val="333333"/>
          <w:kern w:val="0"/>
          <w:sz w:val="24"/>
          <w:szCs w:val="24"/>
          <w:shd w:val="clear" w:color="auto" w:fill="FFFFFF"/>
        </w:rPr>
        <w:t>十一、其他要求</w:t>
      </w:r>
    </w:p>
    <w:p w:rsidR="004F7B61" w:rsidRDefault="00DC153B">
      <w:pPr>
        <w:pStyle w:val="a7"/>
        <w:widowControl/>
        <w:numPr>
          <w:ilvl w:val="0"/>
          <w:numId w:val="1"/>
        </w:numPr>
        <w:shd w:val="clear" w:color="auto" w:fill="FFFFFF"/>
        <w:wordWrap w:val="0"/>
        <w:spacing w:line="360" w:lineRule="auto"/>
        <w:ind w:firstLineChars="0"/>
        <w:jc w:val="left"/>
        <w:rPr>
          <w:rFonts w:asciiTheme="minorEastAsia" w:hAnsiTheme="minorEastAsia" w:cs="Calibri"/>
          <w:color w:val="333333"/>
          <w:kern w:val="0"/>
          <w:sz w:val="24"/>
          <w:szCs w:val="24"/>
        </w:rPr>
      </w:pPr>
      <w:r>
        <w:rPr>
          <w:rFonts w:asciiTheme="minorEastAsia" w:hAnsiTheme="minorEastAsia" w:cs="Calibri" w:hint="eastAsia"/>
          <w:color w:val="333333"/>
          <w:kern w:val="0"/>
          <w:sz w:val="24"/>
          <w:szCs w:val="24"/>
          <w:shd w:val="clear" w:color="auto" w:fill="FFFFFF"/>
        </w:rPr>
        <w:t>本项目招标代理服务费与工程造价咨询服务费采用同一折扣率；</w:t>
      </w:r>
    </w:p>
    <w:p w:rsidR="004F7B61" w:rsidRDefault="00DC153B">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rPr>
      </w:pPr>
      <w:r>
        <w:rPr>
          <w:rFonts w:asciiTheme="minorEastAsia" w:hAnsiTheme="minorEastAsia" w:cs="Calibri" w:hint="eastAsia"/>
          <w:color w:val="333333"/>
          <w:kern w:val="0"/>
          <w:sz w:val="24"/>
          <w:szCs w:val="24"/>
          <w:shd w:val="clear" w:color="auto" w:fill="FFFFFF"/>
        </w:rPr>
        <w:t>2、投标人须综合考虑项目实际需求（包含服务范围及项目投资金额调整），折扣率在合同履行期间不作调整。</w:t>
      </w:r>
    </w:p>
    <w:p w:rsidR="004F7B61" w:rsidRDefault="00DC153B">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rPr>
      </w:pPr>
      <w:r>
        <w:rPr>
          <w:rFonts w:asciiTheme="minorEastAsia" w:hAnsiTheme="minorEastAsia" w:cs="Calibri" w:hint="eastAsia"/>
          <w:color w:val="333333"/>
          <w:kern w:val="0"/>
          <w:sz w:val="24"/>
          <w:szCs w:val="24"/>
          <w:shd w:val="clear" w:color="auto" w:fill="FFFFFF"/>
        </w:rPr>
        <w:t>3、中标人须切实履行招标代理义务，审慎认真开展代理工作。编制招标文件时，须按照主管部门发布的相关范本及招标人要求依法依规编制招标文件，同时应认真核对内容，不得出现内容矛盾或错误（包含但不限于前后不一致、金额、数量、时间及单位错误等）；招标过程中，须合理、合规、合法地设定公告、答疑、项目通知、开标、公示及中标通知等时间节点，完整并正确上传招标人提供的项目资料（包含但不限于审后工程量清单、审后预算书、审后施工图纸、地勘资料及相关审批文件等），若发生违反上述约定的行为，招标人有权按每次单项行为扣除招标代理服务合同金额（不含预算编制费）的5%进行处罚。</w:t>
      </w:r>
    </w:p>
    <w:p w:rsidR="004F7B61" w:rsidRDefault="004F7B61">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rPr>
      </w:pPr>
    </w:p>
    <w:p w:rsidR="004F7B61" w:rsidRDefault="004F7B61">
      <w:pPr>
        <w:widowControl/>
        <w:shd w:val="clear" w:color="auto" w:fill="FFFFFF"/>
        <w:wordWrap w:val="0"/>
        <w:spacing w:line="360" w:lineRule="auto"/>
        <w:ind w:firstLineChars="200" w:firstLine="480"/>
        <w:jc w:val="left"/>
        <w:rPr>
          <w:rFonts w:asciiTheme="minorEastAsia" w:hAnsiTheme="minorEastAsia" w:cs="Calibri"/>
          <w:color w:val="333333"/>
          <w:kern w:val="0"/>
          <w:sz w:val="24"/>
          <w:szCs w:val="24"/>
        </w:rPr>
      </w:pPr>
    </w:p>
    <w:p w:rsidR="004F7B61" w:rsidRDefault="00DC153B">
      <w:pPr>
        <w:widowControl/>
        <w:shd w:val="clear" w:color="auto" w:fill="FFFFFF"/>
        <w:wordWrap w:val="0"/>
        <w:spacing w:line="480" w:lineRule="auto"/>
        <w:ind w:right="960" w:firstLine="560"/>
        <w:jc w:val="center"/>
        <w:rPr>
          <w:rFonts w:asciiTheme="minorEastAsia" w:hAnsiTheme="minorEastAsia" w:cs="Calibri"/>
          <w:color w:val="333333"/>
          <w:kern w:val="0"/>
          <w:sz w:val="24"/>
          <w:szCs w:val="24"/>
          <w:shd w:val="clear" w:color="auto" w:fill="FFFFFF"/>
        </w:rPr>
      </w:pPr>
      <w:r>
        <w:rPr>
          <w:rFonts w:asciiTheme="minorEastAsia" w:hAnsiTheme="minorEastAsia" w:cs="Calibri" w:hint="eastAsia"/>
          <w:color w:val="333333"/>
          <w:kern w:val="0"/>
          <w:sz w:val="24"/>
          <w:szCs w:val="24"/>
          <w:shd w:val="clear" w:color="auto" w:fill="FFFFFF"/>
        </w:rPr>
        <w:t xml:space="preserve">                                 业主： 莆田市教师进修学院</w:t>
      </w:r>
    </w:p>
    <w:p w:rsidR="004F7B61" w:rsidRDefault="004F7B61">
      <w:pPr>
        <w:widowControl/>
        <w:shd w:val="clear" w:color="auto" w:fill="FFFFFF"/>
        <w:wordWrap w:val="0"/>
        <w:spacing w:line="480" w:lineRule="auto"/>
        <w:ind w:right="960" w:firstLine="560"/>
        <w:jc w:val="center"/>
        <w:rPr>
          <w:rFonts w:asciiTheme="minorEastAsia" w:hAnsiTheme="minorEastAsia" w:cs="Calibri"/>
          <w:color w:val="333333"/>
          <w:kern w:val="0"/>
          <w:sz w:val="24"/>
          <w:szCs w:val="24"/>
          <w:shd w:val="clear" w:color="auto" w:fill="FFFFFF"/>
        </w:rPr>
      </w:pPr>
    </w:p>
    <w:p w:rsidR="004F7B61" w:rsidRDefault="00DC153B">
      <w:pPr>
        <w:spacing w:line="360" w:lineRule="auto"/>
        <w:ind w:firstLineChars="1600" w:firstLine="3840"/>
        <w:rPr>
          <w:rFonts w:asciiTheme="minorEastAsia" w:hAnsiTheme="minorEastAsia" w:cs="Calibri"/>
          <w:color w:val="333333"/>
          <w:kern w:val="0"/>
          <w:sz w:val="24"/>
          <w:szCs w:val="24"/>
          <w:shd w:val="clear" w:color="auto" w:fill="FFFFFF"/>
        </w:rPr>
      </w:pPr>
      <w:bookmarkStart w:id="0" w:name="_GoBack"/>
      <w:bookmarkEnd w:id="0"/>
      <w:r>
        <w:rPr>
          <w:rFonts w:asciiTheme="minorEastAsia" w:hAnsiTheme="minorEastAsia" w:cs="Calibri" w:hint="eastAsia"/>
          <w:color w:val="333333"/>
          <w:kern w:val="0"/>
          <w:sz w:val="24"/>
          <w:szCs w:val="24"/>
          <w:shd w:val="clear" w:color="auto" w:fill="FFFFFF"/>
        </w:rPr>
        <w:t xml:space="preserve">联系人：陈老师  </w:t>
      </w:r>
      <w:r>
        <w:rPr>
          <w:rFonts w:asciiTheme="minorEastAsia" w:hAnsiTheme="minorEastAsia" w:cs="Calibri"/>
          <w:color w:val="333333"/>
          <w:kern w:val="0"/>
          <w:sz w:val="24"/>
          <w:szCs w:val="24"/>
          <w:shd w:val="clear" w:color="auto" w:fill="FFFFFF"/>
        </w:rPr>
        <w:t>     </w:t>
      </w:r>
      <w:r>
        <w:rPr>
          <w:rFonts w:asciiTheme="minorEastAsia" w:hAnsiTheme="minorEastAsia" w:cs="Calibri" w:hint="eastAsia"/>
          <w:color w:val="333333"/>
          <w:kern w:val="0"/>
          <w:sz w:val="24"/>
          <w:szCs w:val="24"/>
          <w:shd w:val="clear" w:color="auto" w:fill="FFFFFF"/>
        </w:rPr>
        <w:t>联系电话： 15960500202</w:t>
      </w: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pPr>
        <w:spacing w:line="360" w:lineRule="auto"/>
        <w:ind w:firstLineChars="1600" w:firstLine="3840"/>
        <w:rPr>
          <w:rFonts w:asciiTheme="minorEastAsia" w:hAnsiTheme="minorEastAsia" w:cs="Calibri"/>
          <w:color w:val="333333"/>
          <w:kern w:val="0"/>
          <w:sz w:val="24"/>
          <w:szCs w:val="24"/>
          <w:shd w:val="clear" w:color="auto" w:fill="FFFFFF"/>
        </w:rPr>
      </w:pPr>
    </w:p>
    <w:p w:rsidR="00AE348E" w:rsidRDefault="00AE348E" w:rsidP="00AE348E">
      <w:pPr>
        <w:widowControl/>
        <w:shd w:val="clear" w:color="auto" w:fill="FFFFFF"/>
        <w:wordWrap w:val="0"/>
        <w:spacing w:line="360" w:lineRule="auto"/>
        <w:jc w:val="left"/>
        <w:rPr>
          <w:rFonts w:ascii="仿宋_GB2312" w:eastAsia="仿宋_GB2312" w:cs="宋体"/>
          <w:color w:val="000000"/>
          <w:kern w:val="0"/>
          <w:sz w:val="32"/>
          <w:szCs w:val="32"/>
          <w:shd w:val="clear" w:color="auto" w:fill="FFFFFF"/>
        </w:rPr>
      </w:pPr>
      <w:r>
        <w:rPr>
          <w:rFonts w:ascii="仿宋_GB2312" w:eastAsia="仿宋_GB2312" w:cs="宋体" w:hint="eastAsia"/>
          <w:color w:val="000000"/>
          <w:kern w:val="0"/>
          <w:sz w:val="32"/>
          <w:szCs w:val="32"/>
          <w:shd w:val="clear" w:color="auto" w:fill="FFFFFF"/>
        </w:rPr>
        <w:lastRenderedPageBreak/>
        <w:t>附件：</w:t>
      </w:r>
    </w:p>
    <w:p w:rsidR="00AE348E" w:rsidRDefault="00AE348E" w:rsidP="00AE348E">
      <w:pPr>
        <w:widowControl/>
        <w:shd w:val="clear" w:color="auto" w:fill="FFFFFF"/>
        <w:wordWrap w:val="0"/>
        <w:spacing w:line="360" w:lineRule="auto"/>
        <w:ind w:firstLine="640"/>
        <w:jc w:val="center"/>
        <w:rPr>
          <w:rFonts w:cs="宋体"/>
          <w:color w:val="333333"/>
          <w:kern w:val="0"/>
          <w:sz w:val="24"/>
          <w:szCs w:val="24"/>
        </w:rPr>
      </w:pPr>
      <w:r>
        <w:rPr>
          <w:rFonts w:ascii="仿宋_GB2312" w:eastAsia="仿宋_GB2312" w:cs="宋体" w:hint="eastAsia"/>
          <w:color w:val="000000"/>
          <w:kern w:val="0"/>
          <w:sz w:val="32"/>
          <w:szCs w:val="32"/>
          <w:shd w:val="clear" w:color="auto" w:fill="FFFFFF"/>
        </w:rPr>
        <w:t>报价函</w:t>
      </w: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shd w:val="clear" w:color="auto" w:fill="FFFFFF"/>
        <w:wordWrap w:val="0"/>
        <w:spacing w:line="360" w:lineRule="auto"/>
        <w:rPr>
          <w:rFonts w:cs="宋体"/>
          <w:color w:val="333333"/>
          <w:kern w:val="0"/>
          <w:sz w:val="24"/>
          <w:szCs w:val="24"/>
        </w:rPr>
      </w:pPr>
      <w:r>
        <w:rPr>
          <w:rFonts w:ascii="仿宋_GB2312" w:eastAsia="仿宋_GB2312" w:cs="宋体" w:hint="eastAsia"/>
          <w:color w:val="333333"/>
          <w:kern w:val="0"/>
          <w:sz w:val="32"/>
          <w:szCs w:val="32"/>
          <w:shd w:val="clear" w:color="auto" w:fill="FFFFFF"/>
        </w:rPr>
        <w:t>(招标人名称)：</w:t>
      </w: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shd w:val="clear" w:color="auto" w:fill="FFFFFF"/>
        <w:wordWrap w:val="0"/>
        <w:spacing w:line="360" w:lineRule="auto"/>
        <w:ind w:firstLine="640"/>
        <w:rPr>
          <w:rFonts w:cs="宋体"/>
          <w:color w:val="333333"/>
          <w:kern w:val="0"/>
          <w:sz w:val="24"/>
          <w:szCs w:val="24"/>
        </w:rPr>
      </w:pPr>
      <w:r>
        <w:rPr>
          <w:rFonts w:ascii="仿宋_GB2312" w:eastAsia="仿宋_GB2312" w:cs="宋体" w:hint="eastAsia"/>
          <w:color w:val="000000"/>
          <w:kern w:val="0"/>
          <w:sz w:val="32"/>
          <w:szCs w:val="32"/>
          <w:shd w:val="clear" w:color="auto" w:fill="FFFFFF"/>
        </w:rPr>
        <w:t>我单位同意按本次招标公告内容要求，以</w:t>
      </w:r>
      <w:r w:rsidRPr="00AE348E">
        <w:rPr>
          <w:rFonts w:ascii="仿宋_GB2312" w:eastAsia="仿宋_GB2312" w:cs="宋体" w:hint="eastAsia"/>
          <w:color w:val="000000"/>
          <w:kern w:val="0"/>
          <w:sz w:val="32"/>
          <w:szCs w:val="32"/>
          <w:shd w:val="clear" w:color="auto" w:fill="FFFFFF"/>
        </w:rPr>
        <w:t>本次代理范围内所有事项的招标代理服务费及工程造价咨询规定收费标准费</w:t>
      </w:r>
      <w:r>
        <w:rPr>
          <w:rFonts w:ascii="仿宋_GB2312" w:eastAsia="仿宋_GB2312" w:cs="宋体" w:hint="eastAsia"/>
          <w:color w:val="000000"/>
          <w:kern w:val="0"/>
          <w:sz w:val="32"/>
          <w:szCs w:val="32"/>
          <w:shd w:val="clear" w:color="auto" w:fill="FFFFFF"/>
        </w:rPr>
        <w:t>的</w:t>
      </w:r>
      <w:r w:rsidRPr="00AE348E">
        <w:rPr>
          <w:rFonts w:ascii="仿宋_GB2312" w:eastAsia="仿宋_GB2312" w:cs="宋体" w:hint="eastAsia"/>
          <w:color w:val="000000"/>
          <w:kern w:val="0"/>
          <w:sz w:val="32"/>
          <w:szCs w:val="32"/>
          <w:shd w:val="clear" w:color="auto" w:fill="FFFFFF"/>
        </w:rPr>
        <w:t xml:space="preserve"> </w:t>
      </w:r>
      <w:r>
        <w:rPr>
          <w:rFonts w:ascii="仿宋_GB2312" w:eastAsia="仿宋_GB2312" w:cs="宋体" w:hint="eastAsia"/>
          <w:color w:val="000000"/>
          <w:kern w:val="0"/>
          <w:sz w:val="32"/>
          <w:szCs w:val="32"/>
          <w:u w:val="single"/>
          <w:shd w:val="clear" w:color="auto" w:fill="FFFFFF"/>
        </w:rPr>
        <w:t xml:space="preserve">   </w:t>
      </w:r>
      <w:r>
        <w:rPr>
          <w:rFonts w:ascii="仿宋_GB2312" w:eastAsia="仿宋_GB2312" w:cs="宋体" w:hint="eastAsia"/>
          <w:color w:val="000000"/>
          <w:kern w:val="0"/>
          <w:sz w:val="32"/>
          <w:szCs w:val="32"/>
          <w:shd w:val="clear" w:color="auto" w:fill="FFFFFF"/>
        </w:rPr>
        <w:t>（</w:t>
      </w:r>
      <w:r w:rsidRPr="00AE348E">
        <w:rPr>
          <w:rFonts w:ascii="仿宋_GB2312" w:eastAsia="仿宋_GB2312" w:cs="宋体" w:hint="eastAsia"/>
          <w:color w:val="000000"/>
          <w:kern w:val="0"/>
          <w:sz w:val="32"/>
          <w:szCs w:val="32"/>
          <w:shd w:val="clear" w:color="auto" w:fill="FFFFFF"/>
        </w:rPr>
        <w:t>折扣率</w:t>
      </w:r>
      <w:r>
        <w:rPr>
          <w:rFonts w:ascii="仿宋_GB2312" w:eastAsia="仿宋_GB2312" w:cs="宋体" w:hint="eastAsia"/>
          <w:color w:val="000000"/>
          <w:kern w:val="0"/>
          <w:sz w:val="32"/>
          <w:szCs w:val="32"/>
          <w:shd w:val="clear" w:color="auto" w:fill="FFFFFF"/>
        </w:rPr>
        <w:t>） 参加本次</w:t>
      </w:r>
      <w:r>
        <w:rPr>
          <w:rFonts w:ascii="仿宋_GB2312" w:eastAsia="仿宋_GB2312" w:cs="宋体" w:hint="eastAsia"/>
          <w:color w:val="000000"/>
          <w:kern w:val="0"/>
          <w:sz w:val="32"/>
          <w:szCs w:val="32"/>
          <w:u w:val="single"/>
          <w:shd w:val="clear" w:color="auto" w:fill="FFFFFF"/>
        </w:rPr>
        <w:t xml:space="preserve">               </w:t>
      </w:r>
      <w:r>
        <w:rPr>
          <w:rFonts w:ascii="仿宋_GB2312" w:eastAsia="仿宋_GB2312" w:cs="宋体" w:hint="eastAsia"/>
          <w:color w:val="000000"/>
          <w:kern w:val="0"/>
          <w:sz w:val="32"/>
          <w:szCs w:val="32"/>
          <w:shd w:val="clear" w:color="auto" w:fill="FFFFFF"/>
        </w:rPr>
        <w:t>（项目名称）公开选择招标代理机构的投标报价。</w:t>
      </w:r>
    </w:p>
    <w:p w:rsidR="00AE348E" w:rsidRP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jc w:val="left"/>
        <w:rPr>
          <w:rFonts w:ascii="宋体" w:hAnsi="宋体" w:cs="宋体"/>
          <w:color w:val="333333"/>
          <w:kern w:val="0"/>
          <w:sz w:val="18"/>
          <w:szCs w:val="18"/>
        </w:rPr>
      </w:pPr>
    </w:p>
    <w:p w:rsidR="00AE348E" w:rsidRDefault="00AE348E" w:rsidP="00AE348E">
      <w:pPr>
        <w:widowControl/>
        <w:shd w:val="clear" w:color="auto" w:fill="FFFFFF"/>
        <w:wordWrap w:val="0"/>
        <w:spacing w:line="360" w:lineRule="auto"/>
        <w:ind w:firstLineChars="1800" w:firstLine="5760"/>
        <w:rPr>
          <w:rFonts w:cs="宋体"/>
          <w:color w:val="333333"/>
          <w:kern w:val="0"/>
          <w:sz w:val="24"/>
          <w:szCs w:val="24"/>
        </w:rPr>
      </w:pPr>
      <w:r>
        <w:rPr>
          <w:rFonts w:ascii="仿宋_GB2312" w:eastAsia="仿宋_GB2312" w:cs="宋体" w:hint="eastAsia"/>
          <w:color w:val="000000"/>
          <w:kern w:val="0"/>
          <w:sz w:val="32"/>
          <w:szCs w:val="32"/>
          <w:shd w:val="clear" w:color="auto" w:fill="FFFFFF"/>
        </w:rPr>
        <w:t>投标人：</w:t>
      </w:r>
      <w:r>
        <w:rPr>
          <w:rFonts w:ascii="仿宋_GB2312" w:eastAsia="仿宋_GB2312" w:cs="宋体" w:hint="eastAsia"/>
          <w:color w:val="000000"/>
          <w:kern w:val="0"/>
          <w:sz w:val="32"/>
          <w:szCs w:val="32"/>
          <w:u w:val="single"/>
          <w:shd w:val="clear" w:color="auto" w:fill="FFFFFF"/>
        </w:rPr>
        <w:t xml:space="preserve"> </w:t>
      </w:r>
      <w:r>
        <w:rPr>
          <w:rFonts w:ascii="仿宋_GB2312" w:eastAsia="仿宋_GB2312" w:cs="宋体" w:hint="eastAsia"/>
          <w:color w:val="000000"/>
          <w:kern w:val="0"/>
          <w:sz w:val="32"/>
          <w:szCs w:val="32"/>
          <w:shd w:val="clear" w:color="auto" w:fill="FFFFFF"/>
        </w:rPr>
        <w:t>（盖章）</w:t>
      </w:r>
    </w:p>
    <w:p w:rsidR="00AE348E" w:rsidRDefault="00AE348E" w:rsidP="00AE348E">
      <w:r>
        <w:rPr>
          <w:rFonts w:hint="eastAsia"/>
        </w:rPr>
        <w:t xml:space="preserve">               </w:t>
      </w:r>
      <w:r>
        <w:rPr>
          <w:rFonts w:ascii="仿宋_GB2312" w:eastAsia="仿宋_GB2312" w:cs="宋体" w:hint="eastAsia"/>
          <w:color w:val="000000"/>
          <w:kern w:val="0"/>
          <w:sz w:val="32"/>
          <w:szCs w:val="32"/>
          <w:shd w:val="clear" w:color="auto" w:fill="FFFFFF"/>
        </w:rPr>
        <w:t xml:space="preserve">                               年 月  日</w:t>
      </w:r>
    </w:p>
    <w:p w:rsidR="00AE348E" w:rsidRPr="00AE348E" w:rsidRDefault="00AE348E">
      <w:pPr>
        <w:spacing w:line="360" w:lineRule="auto"/>
        <w:ind w:firstLineChars="1600" w:firstLine="3840"/>
        <w:rPr>
          <w:rFonts w:asciiTheme="minorEastAsia" w:hAnsiTheme="minorEastAsia"/>
          <w:sz w:val="24"/>
          <w:szCs w:val="24"/>
        </w:rPr>
      </w:pPr>
    </w:p>
    <w:sectPr w:rsidR="00AE348E" w:rsidRPr="00AE348E" w:rsidSect="004F7B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7D" w:rsidRDefault="00542D7D" w:rsidP="00BA5798">
      <w:r>
        <w:separator/>
      </w:r>
    </w:p>
  </w:endnote>
  <w:endnote w:type="continuationSeparator" w:id="0">
    <w:p w:rsidR="00542D7D" w:rsidRDefault="00542D7D" w:rsidP="00BA579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roman"/>
    <w:pitch w:val="default"/>
    <w:sig w:usb0="00000001" w:usb1="080E0000" w:usb2="00000010" w:usb3="00000000" w:csb0="00040000"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7D" w:rsidRDefault="00542D7D" w:rsidP="00BA5798">
      <w:r>
        <w:separator/>
      </w:r>
    </w:p>
  </w:footnote>
  <w:footnote w:type="continuationSeparator" w:id="0">
    <w:p w:rsidR="00542D7D" w:rsidRDefault="00542D7D" w:rsidP="00BA5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34F6"/>
    <w:multiLevelType w:val="multilevel"/>
    <w:tmpl w:val="3C3634F6"/>
    <w:lvl w:ilvl="0">
      <w:start w:val="1"/>
      <w:numFmt w:val="decimal"/>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0B6"/>
    <w:rsid w:val="00001163"/>
    <w:rsid w:val="00036893"/>
    <w:rsid w:val="000E3230"/>
    <w:rsid w:val="000E5A95"/>
    <w:rsid w:val="000F4F72"/>
    <w:rsid w:val="00100E55"/>
    <w:rsid w:val="00103F78"/>
    <w:rsid w:val="00166554"/>
    <w:rsid w:val="00174376"/>
    <w:rsid w:val="001908BE"/>
    <w:rsid w:val="0022226F"/>
    <w:rsid w:val="002C7721"/>
    <w:rsid w:val="002E078D"/>
    <w:rsid w:val="00367BE0"/>
    <w:rsid w:val="00375043"/>
    <w:rsid w:val="003D23A7"/>
    <w:rsid w:val="004009CF"/>
    <w:rsid w:val="00401EA4"/>
    <w:rsid w:val="00402513"/>
    <w:rsid w:val="00475023"/>
    <w:rsid w:val="004E2FF0"/>
    <w:rsid w:val="004E690F"/>
    <w:rsid w:val="004F7B61"/>
    <w:rsid w:val="005067B2"/>
    <w:rsid w:val="00542D7D"/>
    <w:rsid w:val="00547284"/>
    <w:rsid w:val="005A60B6"/>
    <w:rsid w:val="006314BF"/>
    <w:rsid w:val="00660041"/>
    <w:rsid w:val="00693AD4"/>
    <w:rsid w:val="006B3345"/>
    <w:rsid w:val="006C277F"/>
    <w:rsid w:val="006F17A9"/>
    <w:rsid w:val="00700C24"/>
    <w:rsid w:val="00706605"/>
    <w:rsid w:val="007125BD"/>
    <w:rsid w:val="00783627"/>
    <w:rsid w:val="007921CA"/>
    <w:rsid w:val="007B3B6C"/>
    <w:rsid w:val="007E0FB6"/>
    <w:rsid w:val="00802852"/>
    <w:rsid w:val="008C4D10"/>
    <w:rsid w:val="00904A3F"/>
    <w:rsid w:val="00940985"/>
    <w:rsid w:val="00963DCB"/>
    <w:rsid w:val="00993F5E"/>
    <w:rsid w:val="009B2C06"/>
    <w:rsid w:val="009C612A"/>
    <w:rsid w:val="009E20F7"/>
    <w:rsid w:val="00A36C56"/>
    <w:rsid w:val="00A5031E"/>
    <w:rsid w:val="00A65A72"/>
    <w:rsid w:val="00A665F8"/>
    <w:rsid w:val="00A873A9"/>
    <w:rsid w:val="00AE348E"/>
    <w:rsid w:val="00B83B0C"/>
    <w:rsid w:val="00BA5798"/>
    <w:rsid w:val="00BF64FB"/>
    <w:rsid w:val="00C53DE2"/>
    <w:rsid w:val="00C57D92"/>
    <w:rsid w:val="00C75673"/>
    <w:rsid w:val="00C92301"/>
    <w:rsid w:val="00CB0B41"/>
    <w:rsid w:val="00D01222"/>
    <w:rsid w:val="00D45EC3"/>
    <w:rsid w:val="00DA77BD"/>
    <w:rsid w:val="00DC153B"/>
    <w:rsid w:val="00DD16F4"/>
    <w:rsid w:val="00DD5ADF"/>
    <w:rsid w:val="00EC390A"/>
    <w:rsid w:val="00F0344D"/>
    <w:rsid w:val="00FD44E3"/>
    <w:rsid w:val="024747ED"/>
    <w:rsid w:val="0293506E"/>
    <w:rsid w:val="0B7E57A9"/>
    <w:rsid w:val="2D94004F"/>
    <w:rsid w:val="51890068"/>
    <w:rsid w:val="67064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61"/>
    <w:pPr>
      <w:widowControl w:val="0"/>
      <w:jc w:val="both"/>
    </w:pPr>
    <w:rPr>
      <w:kern w:val="2"/>
      <w:sz w:val="21"/>
      <w:szCs w:val="22"/>
    </w:rPr>
  </w:style>
  <w:style w:type="paragraph" w:styleId="2">
    <w:name w:val="heading 2"/>
    <w:basedOn w:val="a"/>
    <w:next w:val="a"/>
    <w:link w:val="2Char"/>
    <w:uiPriority w:val="9"/>
    <w:qFormat/>
    <w:rsid w:val="004F7B6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qFormat/>
    <w:rsid w:val="004F7B6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F7B6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F7B6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F7B6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F7B61"/>
    <w:rPr>
      <w:color w:val="0000FF"/>
      <w:u w:val="single"/>
    </w:rPr>
  </w:style>
  <w:style w:type="character" w:customStyle="1" w:styleId="2Char">
    <w:name w:val="标题 2 Char"/>
    <w:basedOn w:val="a0"/>
    <w:link w:val="2"/>
    <w:uiPriority w:val="9"/>
    <w:rsid w:val="004F7B61"/>
    <w:rPr>
      <w:rFonts w:ascii="宋体" w:eastAsia="宋体" w:hAnsi="宋体" w:cs="宋体"/>
      <w:b/>
      <w:bCs/>
      <w:kern w:val="0"/>
      <w:sz w:val="36"/>
      <w:szCs w:val="36"/>
    </w:rPr>
  </w:style>
  <w:style w:type="character" w:customStyle="1" w:styleId="4Char">
    <w:name w:val="标题 4 Char"/>
    <w:basedOn w:val="a0"/>
    <w:link w:val="4"/>
    <w:uiPriority w:val="9"/>
    <w:rsid w:val="004F7B61"/>
    <w:rPr>
      <w:rFonts w:ascii="宋体" w:eastAsia="宋体" w:hAnsi="宋体" w:cs="宋体"/>
      <w:b/>
      <w:bCs/>
      <w:kern w:val="0"/>
      <w:sz w:val="24"/>
      <w:szCs w:val="24"/>
    </w:rPr>
  </w:style>
  <w:style w:type="character" w:customStyle="1" w:styleId="Char0">
    <w:name w:val="页眉 Char"/>
    <w:basedOn w:val="a0"/>
    <w:link w:val="a4"/>
    <w:uiPriority w:val="99"/>
    <w:semiHidden/>
    <w:rsid w:val="004F7B61"/>
    <w:rPr>
      <w:sz w:val="18"/>
      <w:szCs w:val="18"/>
    </w:rPr>
  </w:style>
  <w:style w:type="character" w:customStyle="1" w:styleId="Char">
    <w:name w:val="页脚 Char"/>
    <w:basedOn w:val="a0"/>
    <w:link w:val="a3"/>
    <w:uiPriority w:val="99"/>
    <w:semiHidden/>
    <w:qFormat/>
    <w:rsid w:val="004F7B61"/>
    <w:rPr>
      <w:sz w:val="18"/>
      <w:szCs w:val="18"/>
    </w:rPr>
  </w:style>
  <w:style w:type="paragraph" w:styleId="a7">
    <w:name w:val="List Paragraph"/>
    <w:basedOn w:val="a"/>
    <w:uiPriority w:val="34"/>
    <w:qFormat/>
    <w:rsid w:val="004F7B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4</cp:revision>
  <cp:lastPrinted>2020-04-13T09:18:00Z</cp:lastPrinted>
  <dcterms:created xsi:type="dcterms:W3CDTF">2021-01-22T05:09:00Z</dcterms:created>
  <dcterms:modified xsi:type="dcterms:W3CDTF">2021-01-25T09:12:00Z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