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8" w:rsidRDefault="00CE617F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结果公告</w:t>
      </w:r>
    </w:p>
    <w:p w:rsidR="00282188" w:rsidRDefault="00CE617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21524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PTXC20210883</w:t>
      </w:r>
    </w:p>
    <w:p w:rsidR="00282188" w:rsidRDefault="00CE617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0" w:name="_GoBack"/>
      <w:r w:rsidR="0021524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附属小学篮球场采购项目</w:t>
      </w:r>
      <w:bookmarkEnd w:id="0"/>
    </w:p>
    <w:p w:rsidR="00282188" w:rsidRDefault="00CE617F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3271"/>
        <w:gridCol w:w="2274"/>
      </w:tblGrid>
      <w:tr w:rsidR="00282188" w:rsidTr="003333E3">
        <w:tc>
          <w:tcPr>
            <w:tcW w:w="18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8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282188" w:rsidTr="003333E3">
        <w:tc>
          <w:tcPr>
            <w:tcW w:w="18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3333E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3333E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中创园（莆田）贸易有限公司</w:t>
            </w:r>
            <w:r w:rsidR="00CE617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3333E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福建省莆田市城厢区霞林街道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华东大道598号启迪温泉小区1号楼506室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3333E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293000</w:t>
            </w:r>
            <w:r w:rsidR="00CE617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元 </w:t>
            </w:r>
          </w:p>
        </w:tc>
      </w:tr>
    </w:tbl>
    <w:p w:rsidR="00282188" w:rsidRDefault="00CE617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21524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PTXC20210883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282188" w:rsidRDefault="00B5700E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 w:rsidRPr="00B5700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中创园（莆田）贸易有限公司</w:t>
      </w:r>
      <w:r w:rsidR="00CE617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CE617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1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845"/>
        <w:gridCol w:w="1535"/>
        <w:gridCol w:w="1409"/>
        <w:gridCol w:w="986"/>
        <w:gridCol w:w="1127"/>
        <w:gridCol w:w="1127"/>
      </w:tblGrid>
      <w:tr w:rsidR="004B0005" w:rsidTr="003333E3">
        <w:trPr>
          <w:trHeight w:val="414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围网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恰好时</w:t>
            </w:r>
            <w:proofErr w:type="gramEnd"/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恰好时</w:t>
            </w:r>
            <w:proofErr w:type="gramEnd"/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E51B23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1B23">
              <w:rPr>
                <w:rFonts w:ascii="宋体" w:hAnsi="宋体" w:cs="宋体"/>
                <w:kern w:val="0"/>
                <w:sz w:val="24"/>
              </w:rPr>
              <w:t>140</w:t>
            </w:r>
            <w:r w:rsidRPr="00533A3C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533A3C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22400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硅PU球场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文明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文明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E51B23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1B23">
              <w:rPr>
                <w:rFonts w:ascii="宋体" w:hAnsi="宋体" w:cs="宋体"/>
                <w:kern w:val="0"/>
                <w:sz w:val="24"/>
              </w:rPr>
              <w:t>591.6</w:t>
            </w:r>
            <w:r w:rsidRPr="00533A3C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533A3C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168606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 xml:space="preserve">硬化 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建福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建福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F17">
              <w:rPr>
                <w:rFonts w:ascii="宋体" w:hAnsi="宋体" w:cs="宋体"/>
                <w:kern w:val="0"/>
                <w:sz w:val="24"/>
              </w:rPr>
              <w:t>147.33</w:t>
            </w:r>
            <w:r w:rsidRPr="002E1F17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19742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sz w:val="24"/>
              </w:rPr>
              <w:t>现有塑胶面铲除打磨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中创园定制</w:t>
            </w:r>
            <w:proofErr w:type="gramEnd"/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中创园定制</w:t>
            </w:r>
            <w:proofErr w:type="gramEnd"/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F17">
              <w:rPr>
                <w:rFonts w:ascii="宋体" w:hAnsi="宋体" w:cs="宋体"/>
                <w:kern w:val="0"/>
                <w:sz w:val="24"/>
              </w:rPr>
              <w:t>86.45</w:t>
            </w:r>
            <w:r w:rsidRPr="002E1F17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3458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移栽树木花草、撬火烧面花岗岩、挖沙坑土方</w:t>
            </w:r>
            <w:proofErr w:type="gramStart"/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及撬路</w:t>
            </w:r>
            <w:proofErr w:type="gramEnd"/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沿石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中创园定制</w:t>
            </w:r>
            <w:proofErr w:type="gramEnd"/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中创园定制</w:t>
            </w:r>
            <w:proofErr w:type="gramEnd"/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F17">
              <w:rPr>
                <w:rFonts w:ascii="宋体" w:hAnsi="宋体" w:cs="宋体" w:hint="eastAsia"/>
                <w:kern w:val="0"/>
                <w:sz w:val="24"/>
              </w:rPr>
              <w:t>1项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6400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篮球场路灯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3333E3">
              <w:rPr>
                <w:rFonts w:ascii="宋体" w:eastAsia="宋体" w:hAnsi="宋体" w:cs="宋体" w:hint="eastAsia"/>
                <w:kern w:val="0"/>
                <w:sz w:val="24"/>
              </w:rPr>
              <w:t>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光照明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3333E3">
              <w:rPr>
                <w:rFonts w:ascii="宋体" w:eastAsia="宋体" w:hAnsi="宋体" w:cs="宋体" w:hint="eastAsia"/>
                <w:kern w:val="0"/>
                <w:sz w:val="24"/>
              </w:rPr>
              <w:t>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光照明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F17">
              <w:rPr>
                <w:rFonts w:ascii="宋体" w:hAnsi="宋体" w:cs="宋体" w:hint="eastAsia"/>
                <w:kern w:val="0"/>
                <w:sz w:val="24"/>
              </w:rPr>
              <w:t>1批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26250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26250</w:t>
            </w:r>
          </w:p>
        </w:tc>
      </w:tr>
      <w:tr w:rsidR="003333E3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3333E3" w:rsidRDefault="003333E3" w:rsidP="003333E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kern w:val="0"/>
                <w:sz w:val="24"/>
              </w:rPr>
              <w:t>场地地面沥青混凝土压实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建福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建福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F17">
              <w:rPr>
                <w:rFonts w:ascii="宋体" w:hAnsi="宋体" w:cs="宋体"/>
                <w:kern w:val="0"/>
                <w:sz w:val="24"/>
              </w:rPr>
              <w:t>591.6</w:t>
            </w:r>
            <w:r w:rsidRPr="002E1F17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Pr="002E1F17" w:rsidRDefault="003333E3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E3" w:rsidRDefault="003333E3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46144</w:t>
            </w:r>
          </w:p>
        </w:tc>
      </w:tr>
    </w:tbl>
    <w:p w:rsidR="00282188" w:rsidRDefault="00CE617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五、评标专家（单一来源采购人员）名单： </w:t>
      </w:r>
    </w:p>
    <w:tbl>
      <w:tblPr>
        <w:tblW w:w="48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4758"/>
      </w:tblGrid>
      <w:tr w:rsidR="00282188" w:rsidTr="00624295">
        <w:tc>
          <w:tcPr>
            <w:tcW w:w="33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282188" w:rsidTr="00624295">
        <w:tc>
          <w:tcPr>
            <w:tcW w:w="33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62429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林建兵、唐俊奇、李志强、郑珍银</w:t>
            </w:r>
          </w:p>
        </w:tc>
      </w:tr>
    </w:tbl>
    <w:p w:rsidR="00282188" w:rsidRDefault="00CE617F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4B0005" w:rsidRPr="004B000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中标人应在领取中标通知书的同时向招标代理机构缴纳招标服务费，招标代理费用按中标金额1.5%收取。专家费按财政局文件由采购人支付。中标服务费缴纳账户：开户名--莆田市信成造价咨询有限公司，开户行—中国光大银行莆田分行，账号-- 79880188000047251。</w:t>
      </w:r>
    </w:p>
    <w:p w:rsidR="00282188" w:rsidRDefault="00CE617F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21524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PTXC20210883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包1 ：</w:t>
      </w:r>
      <w:r w:rsidR="003333E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4395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中标人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E427C5" w:rsidRDefault="00E427C5" w:rsidP="00E427C5">
      <w:pPr>
        <w:widowControl/>
        <w:spacing w:line="440" w:lineRule="exact"/>
        <w:jc w:val="left"/>
        <w:rPr>
          <w:rFonts w:ascii="宋体" w:eastAsia="宋体" w:hAnsi="宋体"/>
          <w:sz w:val="24"/>
        </w:rPr>
      </w:pPr>
      <w:r w:rsidRPr="00E427C5">
        <w:rPr>
          <w:rFonts w:ascii="宋体" w:eastAsia="宋体" w:hAnsi="宋体" w:hint="eastAsia"/>
          <w:sz w:val="24"/>
        </w:rPr>
        <w:t>至截标时间2021年09月13日09:00止，有中创园（莆田）贸易有限公司、莆田市城厢</w:t>
      </w:r>
      <w:proofErr w:type="gramStart"/>
      <w:r w:rsidRPr="00E427C5">
        <w:rPr>
          <w:rFonts w:ascii="宋体" w:eastAsia="宋体" w:hAnsi="宋体" w:hint="eastAsia"/>
          <w:sz w:val="24"/>
        </w:rPr>
        <w:t>区诚博贸易</w:t>
      </w:r>
      <w:proofErr w:type="gramEnd"/>
      <w:r w:rsidRPr="00E427C5">
        <w:rPr>
          <w:rFonts w:ascii="宋体" w:eastAsia="宋体" w:hAnsi="宋体" w:hint="eastAsia"/>
          <w:sz w:val="24"/>
        </w:rPr>
        <w:t>有限公司、莆田市城厢区</w:t>
      </w:r>
      <w:proofErr w:type="gramStart"/>
      <w:r w:rsidRPr="00E427C5">
        <w:rPr>
          <w:rFonts w:ascii="宋体" w:eastAsia="宋体" w:hAnsi="宋体" w:hint="eastAsia"/>
          <w:sz w:val="24"/>
        </w:rPr>
        <w:t>辉海贸易</w:t>
      </w:r>
      <w:proofErr w:type="gramEnd"/>
      <w:r w:rsidRPr="00E427C5">
        <w:rPr>
          <w:rFonts w:ascii="宋体" w:eastAsia="宋体" w:hAnsi="宋体" w:hint="eastAsia"/>
          <w:sz w:val="24"/>
        </w:rPr>
        <w:t>有限公司共3家投标人递交了投标文件。因受新型冠状病毒感染肺炎疫情影响，为加强疫情防控，根据2021年9月12日莆田市财政局发布2021年9月13日起《关于暂停政府采购开评标活动的通知》暂停我市政府采购开评标活动，2021年09月13日对收到三家投标人递交的投标文件进行封存，并暂停开评标活动。</w:t>
      </w:r>
      <w:r w:rsidR="003333E3" w:rsidRPr="003333E3">
        <w:rPr>
          <w:rFonts w:ascii="宋体" w:eastAsia="宋体" w:hAnsi="宋体" w:hint="eastAsia"/>
          <w:sz w:val="24"/>
        </w:rPr>
        <w:t>根据2021年10月6日莆田市财政局转发</w:t>
      </w:r>
      <w:r w:rsidRPr="00E427C5">
        <w:rPr>
          <w:rFonts w:ascii="宋体" w:eastAsia="宋体" w:hAnsi="宋体" w:hint="eastAsia"/>
          <w:sz w:val="24"/>
        </w:rPr>
        <w:t>莆田市应对新型冠状病毒感染肺炎疫情工作指挥部第35号通告，2021年10月8日恢复我市正常生产生活秩序。2021年10月9日09：00</w:t>
      </w:r>
      <w:r>
        <w:rPr>
          <w:rFonts w:ascii="宋体" w:eastAsia="宋体" w:hAnsi="宋体" w:hint="eastAsia"/>
          <w:sz w:val="24"/>
        </w:rPr>
        <w:t>进行</w:t>
      </w:r>
      <w:r w:rsidRPr="00E427C5">
        <w:rPr>
          <w:rFonts w:ascii="宋体" w:eastAsia="宋体" w:hAnsi="宋体" w:hint="eastAsia"/>
          <w:sz w:val="24"/>
        </w:rPr>
        <w:t>开评标活动</w:t>
      </w:r>
      <w:r w:rsidR="003333E3">
        <w:rPr>
          <w:rFonts w:ascii="宋体" w:eastAsia="宋体" w:hAnsi="宋体" w:hint="eastAsia"/>
          <w:sz w:val="24"/>
        </w:rPr>
        <w:t>。经评审：</w:t>
      </w:r>
      <w:r w:rsidR="003333E3" w:rsidRPr="003333E3">
        <w:rPr>
          <w:rFonts w:ascii="宋体" w:eastAsia="宋体" w:hAnsi="宋体" w:hint="eastAsia"/>
          <w:sz w:val="24"/>
        </w:rPr>
        <w:t>中创园（莆田）贸易有限公司、莆田市城厢</w:t>
      </w:r>
      <w:proofErr w:type="gramStart"/>
      <w:r w:rsidR="003333E3" w:rsidRPr="003333E3">
        <w:rPr>
          <w:rFonts w:ascii="宋体" w:eastAsia="宋体" w:hAnsi="宋体" w:hint="eastAsia"/>
          <w:sz w:val="24"/>
        </w:rPr>
        <w:t>区诚博贸易</w:t>
      </w:r>
      <w:proofErr w:type="gramEnd"/>
      <w:r w:rsidR="003333E3" w:rsidRPr="003333E3">
        <w:rPr>
          <w:rFonts w:ascii="宋体" w:eastAsia="宋体" w:hAnsi="宋体" w:hint="eastAsia"/>
          <w:sz w:val="24"/>
        </w:rPr>
        <w:t>有限公司、莆田市城厢区</w:t>
      </w:r>
      <w:proofErr w:type="gramStart"/>
      <w:r w:rsidR="003333E3" w:rsidRPr="003333E3">
        <w:rPr>
          <w:rFonts w:ascii="宋体" w:eastAsia="宋体" w:hAnsi="宋体" w:hint="eastAsia"/>
          <w:sz w:val="24"/>
        </w:rPr>
        <w:t>辉海贸易</w:t>
      </w:r>
      <w:proofErr w:type="gramEnd"/>
      <w:r w:rsidR="003333E3" w:rsidRPr="003333E3">
        <w:rPr>
          <w:rFonts w:ascii="宋体" w:eastAsia="宋体" w:hAnsi="宋体" w:hint="eastAsia"/>
          <w:sz w:val="24"/>
        </w:rPr>
        <w:t>有限公司3</w:t>
      </w:r>
      <w:r w:rsidR="003333E3">
        <w:rPr>
          <w:rFonts w:ascii="宋体" w:eastAsia="宋体" w:hAnsi="宋体" w:hint="eastAsia"/>
          <w:sz w:val="24"/>
        </w:rPr>
        <w:t>家投标人均通过资格性及符合性审查，为合格投标人。</w:t>
      </w:r>
    </w:p>
    <w:p w:rsidR="00282188" w:rsidRDefault="00CE617F" w:rsidP="00E427C5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15960500202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282188" w:rsidRDefault="00CE617F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282188" w:rsidRDefault="00CE617F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282188" w:rsidRDefault="00282188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82188" w:rsidRDefault="00282188">
      <w:pPr>
        <w:widowControl/>
        <w:spacing w:line="440" w:lineRule="exact"/>
        <w:ind w:firstLine="735"/>
        <w:jc w:val="left"/>
        <w:rPr>
          <w:rFonts w:ascii="宋体" w:eastAsia="宋体" w:hAnsi="宋体" w:cs="宋体"/>
          <w:sz w:val="24"/>
        </w:rPr>
      </w:pPr>
    </w:p>
    <w:p w:rsidR="00282188" w:rsidRDefault="00CE617F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E427C5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E427C5">
        <w:rPr>
          <w:rFonts w:ascii="宋体" w:eastAsia="宋体" w:hAnsi="宋体" w:cs="宋体" w:hint="eastAsia"/>
          <w:color w:val="333333"/>
          <w:shd w:val="clear" w:color="auto" w:fill="FFFFFF"/>
        </w:rPr>
        <w:t>09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28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23" w:rsidRDefault="00C51523" w:rsidP="004D1084">
      <w:r>
        <w:separator/>
      </w:r>
    </w:p>
  </w:endnote>
  <w:endnote w:type="continuationSeparator" w:id="0">
    <w:p w:rsidR="00C51523" w:rsidRDefault="00C51523" w:rsidP="004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23" w:rsidRDefault="00C51523" w:rsidP="004D1084">
      <w:r>
        <w:separator/>
      </w:r>
    </w:p>
  </w:footnote>
  <w:footnote w:type="continuationSeparator" w:id="0">
    <w:p w:rsidR="00C51523" w:rsidRDefault="00C51523" w:rsidP="004D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15241"/>
    <w:rsid w:val="00282188"/>
    <w:rsid w:val="003333E3"/>
    <w:rsid w:val="004B0005"/>
    <w:rsid w:val="004C63CE"/>
    <w:rsid w:val="004D1084"/>
    <w:rsid w:val="004F22D2"/>
    <w:rsid w:val="005D3094"/>
    <w:rsid w:val="00624295"/>
    <w:rsid w:val="006C5B71"/>
    <w:rsid w:val="006D5621"/>
    <w:rsid w:val="006D6B32"/>
    <w:rsid w:val="00726999"/>
    <w:rsid w:val="00886087"/>
    <w:rsid w:val="00A07405"/>
    <w:rsid w:val="00A411D6"/>
    <w:rsid w:val="00B5700E"/>
    <w:rsid w:val="00C50165"/>
    <w:rsid w:val="00C51523"/>
    <w:rsid w:val="00CE617F"/>
    <w:rsid w:val="00D419D2"/>
    <w:rsid w:val="00DA49D8"/>
    <w:rsid w:val="00DF606D"/>
    <w:rsid w:val="00E427C5"/>
    <w:rsid w:val="0ADE404E"/>
    <w:rsid w:val="38BB5EC8"/>
    <w:rsid w:val="3DA16242"/>
    <w:rsid w:val="695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</w:style>
  <w:style w:type="character" w:customStyle="1" w:styleId="last-child1">
    <w:name w:val="last-child1"/>
    <w:basedOn w:val="a0"/>
  </w:style>
  <w:style w:type="character" w:customStyle="1" w:styleId="navy">
    <w:name w:val="navy"/>
    <w:basedOn w:val="a0"/>
    <w:rPr>
      <w:color w:val="1AB394"/>
    </w:rPr>
  </w:style>
  <w:style w:type="paragraph" w:customStyle="1" w:styleId="heading">
    <w:name w:val="heading"/>
    <w:basedOn w:val="a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</w:style>
  <w:style w:type="character" w:customStyle="1" w:styleId="last-child1">
    <w:name w:val="last-child1"/>
    <w:basedOn w:val="a0"/>
  </w:style>
  <w:style w:type="character" w:customStyle="1" w:styleId="navy">
    <w:name w:val="navy"/>
    <w:basedOn w:val="a0"/>
    <w:rPr>
      <w:color w:val="1AB394"/>
    </w:rPr>
  </w:style>
  <w:style w:type="paragraph" w:customStyle="1" w:styleId="heading">
    <w:name w:val="heading"/>
    <w:basedOn w:val="a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2021-10-09T03:00:00Z</dcterms:created>
  <dcterms:modified xsi:type="dcterms:W3CDTF">2021-10-09T03:00:00Z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