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A7" w:rsidRPr="00161CA7" w:rsidRDefault="00161CA7" w:rsidP="00D85A1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</w:t>
      </w:r>
      <w:r w:rsidR="00B931D6">
        <w:rPr>
          <w:rFonts w:ascii="宋体" w:eastAsia="宋体" w:hAnsi="宋体" w:cs="宋体"/>
          <w:b/>
          <w:bCs/>
          <w:kern w:val="0"/>
          <w:sz w:val="36"/>
          <w:szCs w:val="36"/>
        </w:rPr>
        <w:t>信息学拔尖创新人才早期培养工程项目竞争性谈判</w:t>
      </w:r>
      <w:r w:rsidR="00B931D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公告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3E1F5E" w:rsidRPr="00B931D6" w:rsidRDefault="00B931D6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信息学拔尖创新人才早期培养工程项目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项目的潜在供应商应在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获取采购文件，并于202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28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161CA7" w:rsidRPr="00B931D6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B931D6" w:rsidRPr="00B931D6">
        <w:rPr>
          <w:rFonts w:asciiTheme="minorEastAsia" w:hAnsiTheme="minorEastAsia" w:cs="宋体"/>
          <w:kern w:val="0"/>
          <w:sz w:val="24"/>
          <w:szCs w:val="24"/>
        </w:rPr>
        <w:t>PTSZYCTP20240406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B931D6" w:rsidRPr="00B931D6">
        <w:rPr>
          <w:rFonts w:asciiTheme="minorEastAsia" w:hAnsiTheme="minorEastAsia" w:cs="宋体"/>
          <w:kern w:val="0"/>
          <w:sz w:val="24"/>
          <w:szCs w:val="24"/>
        </w:rPr>
        <w:t>信息学拔尖创新人才早期培养工程项目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采购方式：竞争性</w:t>
      </w:r>
      <w:r w:rsidR="00B931D6">
        <w:rPr>
          <w:rFonts w:asciiTheme="minorEastAsia" w:hAnsiTheme="minorEastAsia" w:cs="宋体" w:hint="eastAsia"/>
          <w:kern w:val="0"/>
          <w:sz w:val="24"/>
          <w:szCs w:val="24"/>
        </w:rPr>
        <w:t>谈判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B931D6" w:rsidRPr="00B931D6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B931D6" w:rsidRPr="00B931D6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B931D6" w:rsidRPr="00B931D6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B931D6" w:rsidRPr="00B931D6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655C85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933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695"/>
        <w:gridCol w:w="2600"/>
        <w:gridCol w:w="638"/>
        <w:gridCol w:w="1287"/>
        <w:gridCol w:w="1275"/>
        <w:gridCol w:w="2177"/>
      </w:tblGrid>
      <w:tr w:rsidR="00B931D6" w:rsidRPr="00B931D6" w:rsidTr="000C053A">
        <w:trPr>
          <w:trHeight w:val="613"/>
        </w:trPr>
        <w:tc>
          <w:tcPr>
            <w:tcW w:w="666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931D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合同包</w:t>
            </w:r>
          </w:p>
        </w:tc>
        <w:tc>
          <w:tcPr>
            <w:tcW w:w="695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931D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品目</w:t>
            </w:r>
            <w:r w:rsidRPr="00B931D6">
              <w:rPr>
                <w:rFonts w:asciiTheme="minorEastAsia" w:hAnsiTheme="minor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600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931D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采购标的</w:t>
            </w:r>
          </w:p>
        </w:tc>
        <w:tc>
          <w:tcPr>
            <w:tcW w:w="638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931D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87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275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931D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投标保证金</w:t>
            </w:r>
          </w:p>
        </w:tc>
        <w:tc>
          <w:tcPr>
            <w:tcW w:w="2177" w:type="dxa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B931D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中小企业划分标准所属行业</w:t>
            </w:r>
          </w:p>
        </w:tc>
      </w:tr>
      <w:tr w:rsidR="00B931D6" w:rsidRPr="00B931D6" w:rsidTr="000C053A">
        <w:trPr>
          <w:trHeight w:val="1489"/>
        </w:trPr>
        <w:tc>
          <w:tcPr>
            <w:tcW w:w="666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hAnsiTheme="minorEastAsia" w:hint="eastAsia"/>
                <w:sz w:val="24"/>
                <w:szCs w:val="24"/>
              </w:rPr>
              <w:t>1-1</w:t>
            </w:r>
          </w:p>
        </w:tc>
        <w:tc>
          <w:tcPr>
            <w:tcW w:w="2600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hAnsiTheme="minorEastAsia" w:hint="eastAsia"/>
                <w:sz w:val="24"/>
                <w:szCs w:val="24"/>
              </w:rPr>
              <w:t>信息学拔尖创新人才早期培养工程项目</w:t>
            </w:r>
          </w:p>
        </w:tc>
        <w:tc>
          <w:tcPr>
            <w:tcW w:w="638" w:type="dxa"/>
            <w:vAlign w:val="center"/>
          </w:tcPr>
          <w:p w:rsidR="00B931D6" w:rsidRPr="00B931D6" w:rsidRDefault="00B931D6" w:rsidP="00B931D6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31D6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 w:rsidRPr="00B931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287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31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110000元</w:t>
            </w:r>
          </w:p>
        </w:tc>
        <w:tc>
          <w:tcPr>
            <w:tcW w:w="1275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31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1100元</w:t>
            </w:r>
          </w:p>
        </w:tc>
        <w:tc>
          <w:tcPr>
            <w:tcW w:w="2177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7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其他未列明行业</w:t>
            </w:r>
          </w:p>
        </w:tc>
      </w:tr>
    </w:tbl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本项目</w:t>
      </w:r>
      <w:r w:rsidR="00D85A18" w:rsidRPr="00B931D6">
        <w:rPr>
          <w:rFonts w:asciiTheme="minorEastAsia" w:hAnsiTheme="minorEastAsia" w:cs="宋体"/>
          <w:kern w:val="0"/>
          <w:sz w:val="24"/>
          <w:szCs w:val="24"/>
        </w:rPr>
        <w:t>(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不接受)联合体投标。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CA64D0" w:rsidRPr="00B931D6" w:rsidRDefault="000B3041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进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口产品，不适用本项目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信息安全产品，适用于（所有采购包或品目号）。小型、微型企业符合财政部、工信部文件（财库〔2020〕46号），适用于（所有采购包或品目号）。监狱企业，适用于（所有采购包或品目号）。促进残疾人就业 ，适用于（所有采购包或品目号）。</w:t>
      </w:r>
    </w:p>
    <w:p w:rsidR="00B931D6" w:rsidRPr="00B931D6" w:rsidRDefault="00161CA7" w:rsidP="00B931D6">
      <w:pPr>
        <w:widowControl/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lastRenderedPageBreak/>
        <w:t>3.本项目的特定资格要求：</w:t>
      </w:r>
    </w:p>
    <w:tbl>
      <w:tblPr>
        <w:tblStyle w:val="a9"/>
        <w:tblW w:w="9149" w:type="dxa"/>
        <w:tblInd w:w="204" w:type="dxa"/>
        <w:tblLook w:val="04A0" w:firstRow="1" w:lastRow="0" w:firstColumn="1" w:lastColumn="0" w:noHBand="0" w:noVBand="1"/>
      </w:tblPr>
      <w:tblGrid>
        <w:gridCol w:w="1605"/>
        <w:gridCol w:w="7544"/>
      </w:tblGrid>
      <w:tr w:rsidR="00B931D6" w:rsidRPr="00B931D6" w:rsidTr="000C053A">
        <w:tc>
          <w:tcPr>
            <w:tcW w:w="1605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明细</w:t>
            </w:r>
          </w:p>
        </w:tc>
        <w:tc>
          <w:tcPr>
            <w:tcW w:w="7544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描述</w:t>
            </w:r>
          </w:p>
        </w:tc>
      </w:tr>
      <w:tr w:rsidR="00B931D6" w:rsidRPr="00B931D6" w:rsidTr="000C053A">
        <w:tc>
          <w:tcPr>
            <w:tcW w:w="1605" w:type="dxa"/>
            <w:vAlign w:val="center"/>
          </w:tcPr>
          <w:p w:rsidR="00B931D6" w:rsidRPr="00B931D6" w:rsidRDefault="00B931D6" w:rsidP="00B931D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落实政府采购政策的证明材料（</w:t>
            </w:r>
            <w:r w:rsidRPr="00B931D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本项目专门面向中小企业采购</w:t>
            </w:r>
            <w:r w:rsidRPr="00B931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7544" w:type="dxa"/>
            <w:vAlign w:val="center"/>
          </w:tcPr>
          <w:p w:rsidR="00B931D6" w:rsidRPr="00B931D6" w:rsidRDefault="00B931D6" w:rsidP="00B93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1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供应商应认真对照《工业和信息化部、国家统计局、国家发展和改革委员会、财政部关于印发中小企业划型标准规定的通知》（工信部联企业[2011]300号）规定的划分标准，并按照《国家统计局关于印发统计上大中小微型企业划分办法的通知》（国统字[2011]75号）规定准确划分企业类型。2、供应商为监狱企业的，可不填写本声明函，根据其提供的由省级以上监狱管理局、戒毒管理局（含新疆生产建设兵团）出具的属于监狱企业的证明文件进行认定，监狱企业视同小型、微型企业。3、供应商为残疾人福利性单位的，可不填写本声明函，根据其提供的《残疾人福利性单位声明函》进行认定，残疾人福利性单位视同小型、微型企业。</w:t>
            </w:r>
          </w:p>
        </w:tc>
      </w:tr>
    </w:tbl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="00B931D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: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: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方式：①上门报名：供应商直接到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购买招标文件，招标文件售价为100元/份(含电子文档)。 ②邮箱方式报名：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931D6">
        <w:rPr>
          <w:rFonts w:asciiTheme="minorEastAsia" w:hAnsiTheme="minorEastAsia" w:cs="宋体"/>
          <w:kern w:val="0"/>
          <w:sz w:val="24"/>
          <w:szCs w:val="24"/>
        </w:rPr>
        <w:t>商先将标书费转账或电汇到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指定账户，再将转账或电汇的银行回单、报名人全称、地址、电话、传真、联系人、手机、E-mail、报名项目编号、项目名称等发送至我司邮箱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PTSZYC2023@163.com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，我司再将招标文件通过电子邮件方式发送给报名人</w:t>
      </w:r>
      <w:r w:rsidR="00A53F86" w:rsidRPr="00B931D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截止时间：20</w:t>
      </w:r>
      <w:r w:rsidR="00D85A18" w:rsidRPr="00B931D6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28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28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lastRenderedPageBreak/>
        <w:t>七、其他补充事宜</w:t>
      </w:r>
    </w:p>
    <w:p w:rsidR="00CA64D0" w:rsidRPr="00B931D6" w:rsidRDefault="00161CA7" w:rsidP="00B931D6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7.1保证金缴纳账户：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开户名：莆田</w:t>
      </w:r>
      <w:proofErr w:type="gramStart"/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易采科技有限公司，开户银行：中国工商银行城厢支行营业部，开户账号：1405010119600279989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7.2报名费、中标服务费缴纳账户：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开户名：莆田</w:t>
      </w:r>
      <w:proofErr w:type="gramStart"/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易采科技有限公司，开户银行：中信银行莆田南门支行，开户账号：8111301011200853491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931D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名 称：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地　址：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联系方式：联系人：小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黄</w:t>
      </w:r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 电话：</w:t>
      </w:r>
      <w:r w:rsidR="00B931D6">
        <w:rPr>
          <w:rFonts w:asciiTheme="minorEastAsia" w:hAnsiTheme="minorEastAsia" w:cs="宋体" w:hint="eastAsia"/>
          <w:kern w:val="0"/>
          <w:sz w:val="24"/>
          <w:szCs w:val="24"/>
        </w:rPr>
        <w:t>0594-2859890</w:t>
      </w:r>
      <w:proofErr w:type="gramStart"/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</w:t>
      </w:r>
      <w:proofErr w:type="gramEnd"/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黄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电　话：</w:t>
      </w:r>
      <w:r w:rsidR="00B931D6">
        <w:rPr>
          <w:rFonts w:asciiTheme="minorEastAsia" w:hAnsiTheme="minorEastAsia" w:cs="宋体" w:hint="eastAsia"/>
          <w:kern w:val="0"/>
          <w:sz w:val="24"/>
          <w:szCs w:val="24"/>
        </w:rPr>
        <w:t>0594-2859890</w:t>
      </w:r>
    </w:p>
    <w:p w:rsidR="00161CA7" w:rsidRPr="00B931D6" w:rsidRDefault="00161CA7" w:rsidP="00B931D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 xml:space="preserve">　 </w:t>
      </w:r>
    </w:p>
    <w:p w:rsidR="002D769F" w:rsidRPr="00B931D6" w:rsidRDefault="002D769F" w:rsidP="00B931D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61CA7" w:rsidRPr="00B931D6" w:rsidRDefault="00161CA7" w:rsidP="00B931D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61CA7" w:rsidRPr="00B931D6" w:rsidRDefault="00161CA7" w:rsidP="00B931D6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B931D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</w:t>
      </w:r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 w:rsidRPr="00B931D6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</w:p>
    <w:p w:rsidR="00161CA7" w:rsidRPr="00B931D6" w:rsidRDefault="00161CA7" w:rsidP="00B931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B931D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="00B931D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202</w:t>
      </w:r>
      <w:r w:rsidR="00CA64D0" w:rsidRPr="00B931D6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73394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bookmarkStart w:id="0" w:name="_GoBack"/>
      <w:bookmarkEnd w:id="0"/>
      <w:r w:rsidRPr="00B931D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161CA7" w:rsidRPr="00B931D6" w:rsidRDefault="00161CA7">
      <w:pPr>
        <w:rPr>
          <w:rFonts w:asciiTheme="minorEastAsia" w:hAnsiTheme="minorEastAsia"/>
          <w:sz w:val="24"/>
          <w:szCs w:val="24"/>
        </w:rPr>
      </w:pPr>
    </w:p>
    <w:sectPr w:rsidR="00161CA7" w:rsidRPr="00B931D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D8" w:rsidRDefault="00901CD8" w:rsidP="00655C85">
      <w:r>
        <w:separator/>
      </w:r>
    </w:p>
  </w:endnote>
  <w:endnote w:type="continuationSeparator" w:id="0">
    <w:p w:rsidR="00901CD8" w:rsidRDefault="00901CD8" w:rsidP="006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D8" w:rsidRDefault="00901CD8" w:rsidP="00655C85">
      <w:r>
        <w:separator/>
      </w:r>
    </w:p>
  </w:footnote>
  <w:footnote w:type="continuationSeparator" w:id="0">
    <w:p w:rsidR="00901CD8" w:rsidRDefault="00901CD8" w:rsidP="0065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C40"/>
    <w:multiLevelType w:val="multilevel"/>
    <w:tmpl w:val="DF44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7"/>
    <w:rsid w:val="00081DA1"/>
    <w:rsid w:val="000B3041"/>
    <w:rsid w:val="00161CA7"/>
    <w:rsid w:val="00194594"/>
    <w:rsid w:val="00275057"/>
    <w:rsid w:val="002D769F"/>
    <w:rsid w:val="003E1F5E"/>
    <w:rsid w:val="00431328"/>
    <w:rsid w:val="0045601B"/>
    <w:rsid w:val="004830C5"/>
    <w:rsid w:val="00655C85"/>
    <w:rsid w:val="00782106"/>
    <w:rsid w:val="008027D3"/>
    <w:rsid w:val="00901CD8"/>
    <w:rsid w:val="009B6730"/>
    <w:rsid w:val="00A53F86"/>
    <w:rsid w:val="00AF627A"/>
    <w:rsid w:val="00B931D6"/>
    <w:rsid w:val="00CA64D0"/>
    <w:rsid w:val="00D545D2"/>
    <w:rsid w:val="00D72715"/>
    <w:rsid w:val="00D85A18"/>
    <w:rsid w:val="00DA7B81"/>
    <w:rsid w:val="00E67E5F"/>
    <w:rsid w:val="00E706C8"/>
    <w:rsid w:val="00E73394"/>
    <w:rsid w:val="00F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5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5C8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5C85"/>
    <w:rPr>
      <w:sz w:val="18"/>
      <w:szCs w:val="18"/>
    </w:rPr>
  </w:style>
  <w:style w:type="table" w:styleId="a9">
    <w:name w:val="Table Grid"/>
    <w:basedOn w:val="a1"/>
    <w:qFormat/>
    <w:rsid w:val="00B931D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5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5C8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5C85"/>
    <w:rPr>
      <w:sz w:val="18"/>
      <w:szCs w:val="18"/>
    </w:rPr>
  </w:style>
  <w:style w:type="table" w:styleId="a9">
    <w:name w:val="Table Grid"/>
    <w:basedOn w:val="a1"/>
    <w:qFormat/>
    <w:rsid w:val="00B931D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04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2024-04-17T08:33:00Z</dcterms:created>
  <dcterms:modified xsi:type="dcterms:W3CDTF">2024-04-22T01:11:00Z</dcterms:modified>
</cp:coreProperties>
</file>