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bookmarkStart w:id="0" w:name="OLE_LINK3"/>
      <w:r>
        <w:rPr>
          <w:rFonts w:hint="eastAsia"/>
          <w:lang w:eastAsia="zh-CN"/>
        </w:rPr>
        <w:t>异性钢膜停车棚及智能充电桩项目</w:t>
      </w:r>
      <w:r>
        <w:rPr>
          <w:rFonts w:hint="eastAsia"/>
        </w:rPr>
        <w:t>成交公告</w:t>
      </w:r>
    </w:p>
    <w:bookmarkEnd w:id="0"/>
    <w:p>
      <w:pPr>
        <w:widowControl/>
        <w:numPr>
          <w:ilvl w:val="0"/>
          <w:numId w:val="1"/>
        </w:numPr>
        <w:pBdr>
          <w:bottom w:val="dotted" w:color="000000" w:sz="6" w:space="30"/>
        </w:pBdr>
        <w:shd w:val="clear" w:color="auto" w:fill="FFFFFF"/>
        <w:spacing w:line="440" w:lineRule="exact"/>
        <w:jc w:val="left"/>
        <w:rPr>
          <w:rFonts w:ascii="宋体" w:hAnsi="宋体" w:eastAsia="宋体" w:cs="宋体"/>
          <w:color w:val="333333"/>
          <w:kern w:val="0"/>
          <w:sz w:val="24"/>
          <w:shd w:val="clear" w:color="auto" w:fill="FFFFFF"/>
          <w:lang w:bidi="ar"/>
        </w:rPr>
      </w:pPr>
      <w:r>
        <w:rPr>
          <w:rStyle w:val="10"/>
          <w:rFonts w:hint="eastAsia" w:ascii="宋体" w:hAnsi="宋体" w:eastAsia="宋体" w:cs="宋体"/>
          <w:color w:val="333333"/>
          <w:sz w:val="24"/>
          <w:shd w:val="clear" w:color="auto" w:fill="FFFFFF"/>
          <w:lang w:bidi="ar"/>
        </w:rPr>
        <w:t>项目编号：</w:t>
      </w:r>
      <w:bookmarkStart w:id="1" w:name="OLE_LINK4"/>
      <w:r>
        <w:rPr>
          <w:rFonts w:hint="eastAsia" w:ascii="宋体" w:hAnsi="宋体" w:eastAsia="宋体" w:cs="宋体"/>
          <w:color w:val="333333"/>
          <w:kern w:val="0"/>
          <w:sz w:val="24"/>
          <w:shd w:val="clear" w:color="auto" w:fill="FFFFFF"/>
          <w:lang w:eastAsia="zh-CN" w:bidi="ar"/>
        </w:rPr>
        <w:t>PTXC2025-X-0302</w:t>
      </w:r>
      <w:bookmarkEnd w:id="1"/>
    </w:p>
    <w:p>
      <w:pPr>
        <w:widowControl/>
        <w:numPr>
          <w:ilvl w:val="0"/>
          <w:numId w:val="1"/>
        </w:numPr>
        <w:pBdr>
          <w:bottom w:val="dotted" w:color="000000" w:sz="6" w:space="30"/>
        </w:pBdr>
        <w:shd w:val="clear" w:color="auto" w:fill="FFFFFF"/>
        <w:spacing w:line="440" w:lineRule="exact"/>
        <w:contextualSpacing/>
        <w:jc w:val="left"/>
        <w:rPr>
          <w:rFonts w:ascii="宋体" w:hAnsi="宋体" w:eastAsia="宋体" w:cs="宋体"/>
          <w:color w:val="333333"/>
          <w:sz w:val="24"/>
        </w:rPr>
      </w:pPr>
      <w:r>
        <w:rPr>
          <w:rStyle w:val="10"/>
          <w:rFonts w:hint="eastAsia" w:ascii="宋体" w:hAnsi="宋体" w:eastAsia="宋体" w:cs="宋体"/>
          <w:color w:val="333333"/>
          <w:sz w:val="24"/>
          <w:shd w:val="clear" w:color="auto" w:fill="FFFFFF"/>
          <w:lang w:bidi="ar"/>
        </w:rPr>
        <w:t>项目名称：</w:t>
      </w:r>
      <w:bookmarkStart w:id="2" w:name="OLE_LINK5"/>
      <w:bookmarkStart w:id="6" w:name="_GoBack"/>
      <w:r>
        <w:rPr>
          <w:rFonts w:hint="eastAsia" w:ascii="宋体" w:hAnsi="宋体" w:eastAsia="宋体" w:cs="宋体"/>
          <w:color w:val="333333"/>
          <w:kern w:val="0"/>
          <w:sz w:val="24"/>
          <w:shd w:val="clear" w:color="auto" w:fill="FFFFFF"/>
          <w:lang w:eastAsia="zh-CN" w:bidi="ar"/>
        </w:rPr>
        <w:t>异性钢膜停车棚及智能充电桩项目</w:t>
      </w:r>
      <w:bookmarkEnd w:id="2"/>
      <w:bookmarkEnd w:id="6"/>
    </w:p>
    <w:p>
      <w:pPr>
        <w:widowControl/>
        <w:pBdr>
          <w:bottom w:val="dotted" w:color="000000" w:sz="6" w:space="30"/>
        </w:pBdr>
        <w:shd w:val="clear" w:color="auto" w:fill="FFFFFF"/>
        <w:spacing w:line="440" w:lineRule="exact"/>
        <w:contextualSpacing/>
        <w:jc w:val="left"/>
        <w:rPr>
          <w:rFonts w:ascii="宋体" w:hAnsi="宋体" w:eastAsia="宋体" w:cs="宋体"/>
          <w:color w:val="333333"/>
          <w:sz w:val="24"/>
        </w:rPr>
      </w:pPr>
      <w:r>
        <w:rPr>
          <w:rStyle w:val="10"/>
          <w:rFonts w:hint="eastAsia" w:ascii="宋体" w:hAnsi="宋体" w:eastAsia="宋体" w:cs="宋体"/>
          <w:color w:val="333333"/>
          <w:sz w:val="24"/>
          <w:shd w:val="clear" w:color="auto" w:fill="FFFFFF"/>
          <w:lang w:bidi="ar"/>
        </w:rPr>
        <w:t>三、采购结果</w:t>
      </w:r>
    </w:p>
    <w:tbl>
      <w:tblPr>
        <w:tblStyle w:val="8"/>
        <w:tblW w:w="513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897"/>
        <w:gridCol w:w="3643"/>
        <w:gridCol w:w="2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9" w:hRule="atLeast"/>
        </w:trPr>
        <w:tc>
          <w:tcPr>
            <w:tcW w:w="1694"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ascii="宋体" w:hAnsi="宋体" w:eastAsia="宋体" w:cs="宋体"/>
                <w:sz w:val="24"/>
              </w:rPr>
            </w:pPr>
            <w:r>
              <w:rPr>
                <w:rFonts w:hint="eastAsia" w:ascii="宋体" w:hAnsi="宋体" w:eastAsia="宋体" w:cs="宋体"/>
                <w:kern w:val="0"/>
                <w:sz w:val="24"/>
                <w:lang w:bidi="ar"/>
              </w:rPr>
              <w:t>供应商名称</w:t>
            </w:r>
          </w:p>
        </w:tc>
        <w:tc>
          <w:tcPr>
            <w:tcW w:w="2130"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ascii="宋体" w:hAnsi="宋体" w:eastAsia="宋体" w:cs="宋体"/>
                <w:sz w:val="24"/>
              </w:rPr>
            </w:pPr>
            <w:r>
              <w:rPr>
                <w:rFonts w:hint="eastAsia" w:ascii="宋体" w:hAnsi="宋体" w:eastAsia="宋体" w:cs="宋体"/>
                <w:kern w:val="0"/>
                <w:sz w:val="24"/>
                <w:lang w:bidi="ar"/>
              </w:rPr>
              <w:t>供应商地址</w:t>
            </w:r>
          </w:p>
        </w:tc>
        <w:tc>
          <w:tcPr>
            <w:tcW w:w="1175"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ascii="宋体" w:hAnsi="宋体" w:eastAsia="宋体" w:cs="宋体"/>
                <w:kern w:val="0"/>
                <w:sz w:val="24"/>
                <w:lang w:bidi="ar"/>
              </w:rPr>
            </w:pPr>
            <w:r>
              <w:rPr>
                <w:rFonts w:hint="eastAsia" w:ascii="宋体" w:hAnsi="宋体" w:eastAsia="宋体" w:cs="宋体"/>
                <w:kern w:val="0"/>
                <w:sz w:val="24"/>
                <w:lang w:bidi="ar"/>
              </w:rPr>
              <w:t>中标（成交）金额（单位：元）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9" w:hRule="atLeast"/>
        </w:trPr>
        <w:tc>
          <w:tcPr>
            <w:tcW w:w="1694"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hint="eastAsia" w:asciiTheme="minorEastAsia" w:hAnsiTheme="minorEastAsia" w:eastAsiaTheme="minorEastAsia" w:cstheme="minorEastAsia"/>
                <w:sz w:val="24"/>
                <w:lang w:eastAsia="zh-CN"/>
              </w:rPr>
            </w:pPr>
            <w:bookmarkStart w:id="3" w:name="OLE_LINK1"/>
            <w:r>
              <w:rPr>
                <w:rFonts w:hint="eastAsia" w:asciiTheme="minorEastAsia" w:hAnsiTheme="minorEastAsia" w:cstheme="minorEastAsia"/>
                <w:bCs/>
                <w:sz w:val="24"/>
                <w:szCs w:val="24"/>
                <w:lang w:eastAsia="zh-CN"/>
              </w:rPr>
              <w:t>莆田市普田德贸易有限公司</w:t>
            </w:r>
            <w:bookmarkEnd w:id="3"/>
          </w:p>
        </w:tc>
        <w:tc>
          <w:tcPr>
            <w:tcW w:w="2130"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hint="eastAsia" w:asciiTheme="minorEastAsia" w:hAnsiTheme="minorEastAsia" w:eastAsiaTheme="minorEastAsia" w:cstheme="minorEastAsia"/>
                <w:sz w:val="24"/>
                <w:lang w:eastAsia="zh-CN"/>
              </w:rPr>
            </w:pPr>
            <w:r>
              <w:rPr>
                <w:rFonts w:hint="eastAsia" w:ascii="宋体" w:hAnsi="宋体" w:eastAsia="宋体" w:cs="宋体"/>
                <w:color w:val="333333"/>
                <w:spacing w:val="0"/>
                <w:sz w:val="24"/>
                <w:szCs w:val="24"/>
                <w:bdr w:val="none" w:color="auto" w:sz="0" w:space="0"/>
              </w:rPr>
              <w:t>福建省莆田市荔城区黄石镇万好街799号1号楼2梯1409室</w:t>
            </w:r>
          </w:p>
        </w:tc>
        <w:tc>
          <w:tcPr>
            <w:tcW w:w="1175" w:type="pct"/>
            <w:shd w:val="clear" w:color="auto" w:fill="FFFFFF"/>
            <w:tcMar>
              <w:top w:w="0" w:type="dxa"/>
              <w:left w:w="0" w:type="dxa"/>
              <w:bottom w:w="0" w:type="dxa"/>
              <w:right w:w="0" w:type="dxa"/>
            </w:tcMar>
            <w:vAlign w:val="center"/>
          </w:tcPr>
          <w:p>
            <w:pPr>
              <w:widowControl/>
              <w:shd w:val="clear" w:color="auto" w:fill="FFFFFF"/>
              <w:spacing w:line="440" w:lineRule="exact"/>
              <w:contextualSpacing/>
              <w:jc w:val="center"/>
              <w:rPr>
                <w:rFonts w:hint="default" w:asciiTheme="minorEastAsia" w:hAnsiTheme="minorEastAsia" w:eastAsiaTheme="minorEastAsia" w:cstheme="minorEastAsia"/>
                <w:sz w:val="24"/>
                <w:lang w:val="en-US" w:eastAsia="zh-CN"/>
              </w:rPr>
            </w:pPr>
            <w:r>
              <w:rPr>
                <w:rFonts w:hint="default" w:asciiTheme="minorEastAsia" w:hAnsiTheme="minorEastAsia" w:cstheme="minorEastAsia"/>
                <w:sz w:val="24"/>
                <w:lang w:val="en-US" w:eastAsia="zh-CN"/>
              </w:rPr>
              <w:t>134800</w:t>
            </w:r>
          </w:p>
        </w:tc>
      </w:tr>
    </w:tbl>
    <w:p>
      <w:pPr>
        <w:widowControl/>
        <w:spacing w:line="440" w:lineRule="exact"/>
        <w:jc w:val="left"/>
        <w:rPr>
          <w:rFonts w:ascii="宋体" w:hAnsi="宋体" w:eastAsia="宋体" w:cs="宋体"/>
          <w:color w:val="333333"/>
          <w:kern w:val="0"/>
          <w:sz w:val="24"/>
          <w:shd w:val="clear" w:color="auto" w:fill="FFFFFF"/>
          <w:lang w:bidi="ar"/>
        </w:rPr>
      </w:pPr>
      <w:r>
        <w:rPr>
          <w:rStyle w:val="10"/>
          <w:rFonts w:hint="eastAsia" w:ascii="宋体" w:hAnsi="宋体" w:eastAsia="宋体" w:cs="宋体"/>
          <w:color w:val="333333"/>
          <w:sz w:val="24"/>
          <w:shd w:val="clear" w:color="auto" w:fill="FFFFFF"/>
          <w:lang w:bidi="ar"/>
        </w:rPr>
        <w:t>四、主要标的信息</w:t>
      </w:r>
    </w:p>
    <w:p>
      <w:pPr>
        <w:widowControl/>
        <w:shd w:val="clear" w:color="auto" w:fill="FFFFFF"/>
        <w:spacing w:line="440" w:lineRule="exact"/>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lang w:bidi="ar"/>
        </w:rPr>
        <w:t>货物类</w:t>
      </w:r>
    </w:p>
    <w:tbl>
      <w:tblPr>
        <w:tblStyle w:val="8"/>
        <w:tblW w:w="513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29"/>
        <w:gridCol w:w="2400"/>
        <w:gridCol w:w="2728"/>
        <w:gridCol w:w="1379"/>
        <w:gridCol w:w="1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4" w:hRule="atLeast"/>
        </w:trPr>
        <w:tc>
          <w:tcPr>
            <w:tcW w:w="728"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asciiTheme="minorEastAsia" w:hAnsiTheme="minorEastAsia" w:cstheme="minorEastAsia"/>
                <w:sz w:val="24"/>
              </w:rPr>
            </w:pPr>
            <w:r>
              <w:rPr>
                <w:rFonts w:hint="eastAsia" w:asciiTheme="minorEastAsia" w:hAnsiTheme="minorEastAsia" w:cstheme="minorEastAsia"/>
                <w:kern w:val="0"/>
                <w:sz w:val="24"/>
                <w:lang w:bidi="ar"/>
              </w:rPr>
              <w:t>品目号</w:t>
            </w:r>
          </w:p>
        </w:tc>
        <w:tc>
          <w:tcPr>
            <w:tcW w:w="2393" w:type="dxa"/>
            <w:shd w:val="clear" w:color="auto" w:fill="FFFFFF"/>
            <w:tcMar>
              <w:top w:w="0" w:type="dxa"/>
              <w:left w:w="0" w:type="dxa"/>
              <w:bottom w:w="0" w:type="dxa"/>
              <w:right w:w="0" w:type="dxa"/>
            </w:tcMar>
            <w:vAlign w:val="center"/>
          </w:tcPr>
          <w:p>
            <w:pPr>
              <w:widowControl/>
              <w:shd w:val="clear" w:color="auto" w:fill="FFFFFF"/>
              <w:jc w:val="center"/>
              <w:rPr>
                <w:rFonts w:asciiTheme="minorEastAsia" w:hAnsiTheme="minorEastAsia" w:cstheme="minorEastAsia"/>
                <w:sz w:val="24"/>
              </w:rPr>
            </w:pPr>
            <w:r>
              <w:rPr>
                <w:rFonts w:hint="eastAsia" w:asciiTheme="minorEastAsia" w:hAnsiTheme="minorEastAsia" w:cstheme="minorEastAsia"/>
                <w:kern w:val="0"/>
                <w:sz w:val="24"/>
                <w:lang w:bidi="ar"/>
              </w:rPr>
              <w:t>采购标的</w:t>
            </w:r>
          </w:p>
        </w:tc>
        <w:tc>
          <w:tcPr>
            <w:tcW w:w="2720" w:type="dxa"/>
            <w:shd w:val="clear" w:color="auto" w:fill="FFFFFF"/>
            <w:tcMar>
              <w:top w:w="0" w:type="dxa"/>
              <w:left w:w="0" w:type="dxa"/>
              <w:bottom w:w="0" w:type="dxa"/>
              <w:right w:w="0" w:type="dxa"/>
            </w:tcMar>
            <w:vAlign w:val="center"/>
          </w:tcPr>
          <w:p>
            <w:pPr>
              <w:widowControl/>
              <w:shd w:val="clear" w:color="auto" w:fill="FFFFFF"/>
              <w:jc w:val="center"/>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kern w:val="0"/>
                <w:sz w:val="24"/>
                <w:lang w:bidi="ar"/>
              </w:rPr>
              <w:t>品牌</w:t>
            </w:r>
            <w:r>
              <w:rPr>
                <w:rFonts w:hint="eastAsia" w:asciiTheme="minorEastAsia" w:hAnsiTheme="minorEastAsia" w:cstheme="minorEastAsia"/>
                <w:kern w:val="0"/>
                <w:sz w:val="24"/>
                <w:lang w:val="en-US" w:eastAsia="zh-CN" w:bidi="ar"/>
              </w:rPr>
              <w:t>型号</w:t>
            </w:r>
          </w:p>
        </w:tc>
        <w:tc>
          <w:tcPr>
            <w:tcW w:w="1375" w:type="dxa"/>
            <w:shd w:val="clear" w:color="auto" w:fill="FFFFFF"/>
            <w:tcMar>
              <w:top w:w="0" w:type="dxa"/>
              <w:left w:w="0" w:type="dxa"/>
              <w:bottom w:w="0" w:type="dxa"/>
              <w:right w:w="0" w:type="dxa"/>
            </w:tcMar>
            <w:vAlign w:val="center"/>
          </w:tcPr>
          <w:p>
            <w:pPr>
              <w:widowControl/>
              <w:shd w:val="clear" w:color="auto" w:fill="FFFFFF"/>
              <w:jc w:val="center"/>
              <w:rPr>
                <w:rFonts w:asciiTheme="minorEastAsia" w:hAnsiTheme="minorEastAsia" w:cstheme="minorEastAsia"/>
                <w:sz w:val="24"/>
              </w:rPr>
            </w:pPr>
            <w:r>
              <w:rPr>
                <w:rFonts w:hint="eastAsia" w:asciiTheme="minorEastAsia" w:hAnsiTheme="minorEastAsia" w:cstheme="minorEastAsia"/>
                <w:kern w:val="0"/>
                <w:sz w:val="24"/>
                <w:lang w:bidi="ar"/>
              </w:rPr>
              <w:t>数量</w:t>
            </w:r>
          </w:p>
        </w:tc>
        <w:tc>
          <w:tcPr>
            <w:tcW w:w="1321" w:type="dxa"/>
            <w:shd w:val="clear" w:color="auto" w:fill="FFFFFF"/>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rPr>
              <w:t>单价</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元</w:t>
            </w:r>
            <w:r>
              <w:rPr>
                <w:rFonts w:hint="eastAsia" w:asciiTheme="minorEastAsia" w:hAnsiTheme="minorEastAsia" w:cstheme="minorEastAsia"/>
                <w:sz w:val="24"/>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3" w:hRule="atLeast"/>
        </w:trPr>
        <w:tc>
          <w:tcPr>
            <w:tcW w:w="728"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cs="宋体" w:asciiTheme="minorEastAsia" w:hAnsiTheme="minorEastAsia"/>
                <w:sz w:val="24"/>
              </w:rPr>
            </w:pPr>
            <w:r>
              <w:rPr>
                <w:rFonts w:hint="eastAsia" w:cs="宋体" w:asciiTheme="minorEastAsia" w:hAnsiTheme="minorEastAsia"/>
                <w:kern w:val="0"/>
                <w:sz w:val="24"/>
                <w:lang w:bidi="ar"/>
              </w:rPr>
              <w:t>1-1</w:t>
            </w:r>
          </w:p>
        </w:tc>
        <w:tc>
          <w:tcPr>
            <w:tcW w:w="2393" w:type="dxa"/>
            <w:shd w:val="clear" w:color="auto" w:fill="FFFFFF"/>
            <w:tcMar>
              <w:top w:w="0" w:type="dxa"/>
              <w:left w:w="0" w:type="dxa"/>
              <w:bottom w:w="0" w:type="dxa"/>
              <w:right w:w="0" w:type="dxa"/>
            </w:tcMar>
            <w:vAlign w:val="center"/>
          </w:tcPr>
          <w:p>
            <w:pPr>
              <w:widowControl/>
              <w:spacing w:line="440" w:lineRule="exact"/>
              <w:jc w:val="center"/>
              <w:textAlignment w:val="center"/>
              <w:rPr>
                <w:rFonts w:hint="eastAsia" w:ascii="宋体" w:hAnsi="宋体" w:cs="微软雅黑" w:eastAsiaTheme="minorEastAsia"/>
                <w:kern w:val="0"/>
                <w:sz w:val="24"/>
                <w:lang w:eastAsia="zh-CN"/>
              </w:rPr>
            </w:pPr>
            <w:r>
              <w:rPr>
                <w:rFonts w:hint="eastAsia" w:ascii="宋体" w:hAnsi="宋体" w:eastAsia="宋体" w:cs="宋体"/>
                <w:color w:val="333333"/>
                <w:kern w:val="0"/>
                <w:sz w:val="24"/>
                <w:shd w:val="clear" w:color="auto" w:fill="FFFFFF"/>
                <w:lang w:eastAsia="zh-CN" w:bidi="ar"/>
              </w:rPr>
              <w:t>异性钢膜停车棚及智能充电桩项目</w:t>
            </w:r>
          </w:p>
        </w:tc>
        <w:tc>
          <w:tcPr>
            <w:tcW w:w="2720" w:type="dxa"/>
            <w:shd w:val="clear" w:color="auto" w:fill="FFFFFF"/>
            <w:tcMar>
              <w:top w:w="0" w:type="dxa"/>
              <w:left w:w="0" w:type="dxa"/>
              <w:bottom w:w="0" w:type="dxa"/>
              <w:right w:w="0" w:type="dxa"/>
            </w:tcMar>
            <w:vAlign w:val="center"/>
          </w:tcPr>
          <w:p>
            <w:pPr>
              <w:widowControl/>
              <w:tabs>
                <w:tab w:val="left" w:pos="732"/>
              </w:tabs>
              <w:spacing w:line="360" w:lineRule="exact"/>
              <w:jc w:val="center"/>
              <w:rPr>
                <w:rFonts w:hint="eastAsia" w:cs="宋体" w:asciiTheme="minorEastAsia" w:hAnsiTheme="minorEastAsia"/>
                <w:kern w:val="0"/>
                <w:sz w:val="24"/>
                <w:lang w:val="en-US" w:eastAsia="zh-CN"/>
              </w:rPr>
            </w:pPr>
            <w:r>
              <w:rPr>
                <w:rFonts w:hint="eastAsia" w:cs="宋体" w:asciiTheme="minorEastAsia" w:hAnsiTheme="minorEastAsia"/>
                <w:kern w:val="0"/>
                <w:sz w:val="24"/>
                <w:lang w:val="en-US" w:eastAsia="zh-CN"/>
              </w:rPr>
              <w:t>弘方</w:t>
            </w:r>
            <w:r>
              <w:rPr>
                <w:rFonts w:hint="default" w:cs="宋体" w:asciiTheme="minorEastAsia" w:hAnsiTheme="minorEastAsia"/>
                <w:kern w:val="0"/>
                <w:sz w:val="24"/>
                <w:lang w:val="en-US" w:eastAsia="zh-CN"/>
              </w:rPr>
              <w:t>HZ-257</w:t>
            </w:r>
            <w:r>
              <w:rPr>
                <w:rFonts w:hint="eastAsia" w:cs="宋体" w:asciiTheme="minorEastAsia" w:hAnsiTheme="minorEastAsia"/>
                <w:kern w:val="0"/>
                <w:sz w:val="24"/>
                <w:lang w:val="en-US" w:eastAsia="zh-CN"/>
              </w:rPr>
              <w:t>；</w:t>
            </w:r>
          </w:p>
          <w:p>
            <w:pPr>
              <w:widowControl/>
              <w:tabs>
                <w:tab w:val="left" w:pos="732"/>
              </w:tabs>
              <w:spacing w:line="360" w:lineRule="exact"/>
              <w:jc w:val="center"/>
              <w:rPr>
                <w:rFonts w:hint="default" w:cs="宋体" w:asciiTheme="minorEastAsia" w:hAnsiTheme="minorEastAsia"/>
                <w:kern w:val="0"/>
                <w:sz w:val="24"/>
                <w:lang w:val="en-US" w:eastAsia="zh-CN"/>
              </w:rPr>
            </w:pPr>
            <w:r>
              <w:rPr>
                <w:rFonts w:hint="eastAsia" w:cs="宋体" w:asciiTheme="minorEastAsia" w:hAnsiTheme="minorEastAsia"/>
                <w:kern w:val="0"/>
                <w:sz w:val="24"/>
                <w:lang w:val="en-US" w:eastAsia="zh-CN"/>
              </w:rPr>
              <w:t>友发</w:t>
            </w:r>
            <w:r>
              <w:rPr>
                <w:rFonts w:hint="default" w:cs="宋体" w:asciiTheme="minorEastAsia" w:hAnsiTheme="minorEastAsia"/>
                <w:kern w:val="0"/>
                <w:sz w:val="24"/>
                <w:lang w:val="en-US" w:eastAsia="zh-CN"/>
              </w:rPr>
              <w:t>S36;</w:t>
            </w:r>
          </w:p>
          <w:p>
            <w:pPr>
              <w:widowControl/>
              <w:tabs>
                <w:tab w:val="left" w:pos="732"/>
              </w:tabs>
              <w:spacing w:line="360" w:lineRule="exact"/>
              <w:jc w:val="center"/>
              <w:rPr>
                <w:rFonts w:hint="default" w:cs="宋体" w:asciiTheme="minorEastAsia" w:hAnsiTheme="minorEastAsia"/>
                <w:kern w:val="0"/>
                <w:sz w:val="24"/>
                <w:lang w:val="en-US" w:eastAsia="zh-CN"/>
              </w:rPr>
            </w:pPr>
            <w:r>
              <w:rPr>
                <w:rFonts w:hint="eastAsia" w:cs="宋体" w:asciiTheme="minorEastAsia" w:hAnsiTheme="minorEastAsia"/>
                <w:kern w:val="0"/>
                <w:sz w:val="24"/>
                <w:lang w:val="en-US" w:eastAsia="zh-CN"/>
              </w:rPr>
              <w:t>海路裕</w:t>
            </w:r>
            <w:r>
              <w:rPr>
                <w:rFonts w:hint="default" w:cs="宋体" w:asciiTheme="minorEastAsia" w:hAnsiTheme="minorEastAsia"/>
                <w:kern w:val="0"/>
                <w:sz w:val="24"/>
                <w:lang w:val="en-US" w:eastAsia="zh-CN"/>
              </w:rPr>
              <w:t>Q235B</w:t>
            </w:r>
            <w:r>
              <w:rPr>
                <w:rFonts w:hint="eastAsia" w:cs="宋体" w:asciiTheme="minorEastAsia" w:hAnsiTheme="minorEastAsia"/>
                <w:kern w:val="0"/>
                <w:sz w:val="24"/>
                <w:lang w:val="en-US" w:eastAsia="zh-CN"/>
              </w:rPr>
              <w:t>；等等</w:t>
            </w:r>
          </w:p>
        </w:tc>
        <w:tc>
          <w:tcPr>
            <w:tcW w:w="1375" w:type="dxa"/>
            <w:shd w:val="clear" w:color="auto" w:fill="FFFFFF"/>
            <w:tcMar>
              <w:top w:w="0" w:type="dxa"/>
              <w:left w:w="0" w:type="dxa"/>
              <w:bottom w:w="0" w:type="dxa"/>
              <w:right w:w="0" w:type="dxa"/>
            </w:tcMar>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1批</w:t>
            </w:r>
          </w:p>
        </w:tc>
        <w:tc>
          <w:tcPr>
            <w:tcW w:w="1321" w:type="dxa"/>
            <w:shd w:val="clear" w:color="auto" w:fill="FFFFFF"/>
            <w:vAlign w:val="center"/>
          </w:tcPr>
          <w:p>
            <w:pPr>
              <w:widowControl/>
              <w:jc w:val="center"/>
              <w:rPr>
                <w:rFonts w:hint="default" w:ascii="宋体" w:hAnsi="宋体" w:cs="宋体" w:eastAsiaTheme="minorEastAsia"/>
                <w:kern w:val="0"/>
                <w:sz w:val="24"/>
                <w:lang w:val="en-US" w:eastAsia="zh-CN"/>
              </w:rPr>
            </w:pPr>
            <w:r>
              <w:rPr>
                <w:rFonts w:hint="default" w:ascii="宋体" w:hAnsi="宋体" w:cs="宋体"/>
                <w:kern w:val="0"/>
                <w:sz w:val="24"/>
                <w:lang w:val="en-US" w:eastAsia="zh-CN"/>
              </w:rPr>
              <w:t>134800</w:t>
            </w:r>
          </w:p>
        </w:tc>
      </w:tr>
    </w:tbl>
    <w:p>
      <w:pPr>
        <w:widowControl/>
        <w:spacing w:line="440" w:lineRule="exact"/>
        <w:jc w:val="left"/>
        <w:rPr>
          <w:rFonts w:ascii="宋体" w:hAnsi="宋体" w:eastAsia="宋体" w:cs="宋体"/>
          <w:sz w:val="24"/>
        </w:rPr>
      </w:pPr>
      <w:r>
        <w:rPr>
          <w:rStyle w:val="10"/>
          <w:rFonts w:hint="eastAsia" w:ascii="宋体" w:hAnsi="宋体" w:eastAsia="宋体" w:cs="宋体"/>
          <w:sz w:val="24"/>
          <w:shd w:val="clear" w:color="auto" w:fill="FFFFFF"/>
          <w:lang w:bidi="ar"/>
        </w:rPr>
        <w:t>五、评标专家名单： </w:t>
      </w:r>
    </w:p>
    <w:tbl>
      <w:tblPr>
        <w:tblStyle w:val="8"/>
        <w:tblW w:w="512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214"/>
        <w:gridCol w:w="5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77" w:hRule="atLeast"/>
        </w:trPr>
        <w:tc>
          <w:tcPr>
            <w:tcW w:w="3208"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ascii="宋体" w:hAnsi="宋体" w:eastAsia="宋体" w:cs="宋体"/>
                <w:color w:val="333333"/>
                <w:sz w:val="24"/>
              </w:rPr>
            </w:pPr>
            <w:r>
              <w:rPr>
                <w:rFonts w:hint="eastAsia" w:ascii="宋体" w:hAnsi="宋体" w:eastAsia="宋体" w:cs="宋体"/>
                <w:color w:val="333333"/>
                <w:kern w:val="0"/>
                <w:sz w:val="24"/>
                <w:lang w:bidi="ar"/>
              </w:rPr>
              <w:t>采购人代表：</w:t>
            </w:r>
          </w:p>
        </w:tc>
        <w:tc>
          <w:tcPr>
            <w:tcW w:w="5305"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hint="default" w:ascii="宋体" w:hAnsi="宋体" w:eastAsia="宋体" w:cs="宋体"/>
                <w:color w:val="333333"/>
                <w:sz w:val="24"/>
                <w:lang w:val="en-US" w:eastAsia="zh-CN"/>
              </w:rPr>
            </w:pPr>
            <w:r>
              <w:rPr>
                <w:rFonts w:hint="eastAsia" w:ascii="宋体" w:hAnsi="宋体" w:eastAsia="宋体" w:cs="宋体"/>
                <w:color w:val="333333"/>
                <w:sz w:val="24"/>
                <w:lang w:val="en-US" w:eastAsia="zh-CN"/>
              </w:rPr>
              <w:t>吴丽香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7" w:hRule="atLeast"/>
        </w:trPr>
        <w:tc>
          <w:tcPr>
            <w:tcW w:w="3208"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ascii="宋体" w:hAnsi="宋体" w:eastAsia="宋体" w:cs="宋体"/>
                <w:color w:val="333333"/>
                <w:sz w:val="24"/>
              </w:rPr>
            </w:pPr>
            <w:r>
              <w:rPr>
                <w:rFonts w:hint="eastAsia" w:ascii="宋体" w:hAnsi="宋体" w:eastAsia="宋体" w:cs="宋体"/>
                <w:color w:val="333333"/>
                <w:kern w:val="0"/>
                <w:sz w:val="24"/>
                <w:lang w:bidi="ar"/>
              </w:rPr>
              <w:t>评审专家：</w:t>
            </w:r>
          </w:p>
        </w:tc>
        <w:tc>
          <w:tcPr>
            <w:tcW w:w="5305" w:type="dxa"/>
            <w:shd w:val="clear" w:color="auto" w:fill="FFFFFF"/>
            <w:tcMar>
              <w:top w:w="0" w:type="dxa"/>
              <w:left w:w="0" w:type="dxa"/>
              <w:bottom w:w="0" w:type="dxa"/>
              <w:right w:w="0" w:type="dxa"/>
            </w:tcMar>
            <w:vAlign w:val="center"/>
          </w:tcPr>
          <w:p>
            <w:pPr>
              <w:widowControl/>
              <w:shd w:val="clear" w:color="auto" w:fill="FFFFFF"/>
              <w:spacing w:line="440" w:lineRule="exact"/>
              <w:jc w:val="center"/>
              <w:rPr>
                <w:rFonts w:hint="eastAsia" w:ascii="宋体" w:hAnsi="宋体" w:eastAsia="宋体" w:cs="宋体"/>
                <w:color w:val="333333"/>
                <w:sz w:val="24"/>
                <w:lang w:val="en-US" w:eastAsia="zh-CN"/>
              </w:rPr>
            </w:pPr>
            <w:r>
              <w:rPr>
                <w:rFonts w:hint="eastAsia" w:ascii="宋体" w:hAnsi="宋体" w:eastAsia="宋体" w:cs="宋体"/>
                <w:color w:val="333333"/>
                <w:sz w:val="24"/>
                <w:lang w:val="en-US" w:eastAsia="zh-CN"/>
              </w:rPr>
              <w:t>黄荔忠、许忠福</w:t>
            </w:r>
          </w:p>
        </w:tc>
      </w:tr>
    </w:tbl>
    <w:p>
      <w:pPr>
        <w:widowControl/>
        <w:numPr>
          <w:ilvl w:val="0"/>
          <w:numId w:val="2"/>
        </w:numPr>
        <w:shd w:val="clear" w:color="auto" w:fill="FFFFFF"/>
        <w:spacing w:line="440" w:lineRule="exact"/>
        <w:jc w:val="left"/>
        <w:rPr>
          <w:rFonts w:hint="eastAsia" w:ascii="宋体" w:hAnsi="宋体" w:cs="宋体"/>
          <w:color w:val="000000"/>
          <w:sz w:val="24"/>
        </w:rPr>
      </w:pPr>
      <w:r>
        <w:rPr>
          <w:rStyle w:val="10"/>
          <w:rFonts w:hint="eastAsia" w:ascii="宋体" w:hAnsi="宋体" w:eastAsia="宋体" w:cs="宋体"/>
          <w:color w:val="333333"/>
          <w:sz w:val="24"/>
          <w:shd w:val="clear" w:color="auto" w:fill="FFFFFF"/>
          <w:lang w:bidi="ar"/>
        </w:rPr>
        <w:t>代理服务收费标准及金额：</w:t>
      </w:r>
      <w:r>
        <w:rPr>
          <w:rStyle w:val="10"/>
          <w:rFonts w:hint="eastAsia" w:ascii="宋体" w:hAnsi="宋体" w:eastAsia="宋体" w:cs="宋体"/>
          <w:color w:val="333333"/>
          <w:sz w:val="24"/>
          <w:shd w:val="clear" w:color="auto" w:fill="FFFFFF"/>
          <w:lang w:bidi="ar"/>
        </w:rPr>
        <w:br w:type="textWrapping"/>
      </w:r>
      <w:bookmarkStart w:id="4" w:name="OLE_LINK25"/>
      <w:r>
        <w:rPr>
          <w:rFonts w:hint="eastAsia" w:ascii="宋体" w:hAnsi="宋体" w:cs="宋体"/>
          <w:color w:val="000000"/>
          <w:sz w:val="24"/>
        </w:rPr>
        <w:t>成交人应在领取成交通知书的同时向招标代理人缴纳招标服务费，招标服务费按人民币叁仟元收取，专家费由采购人支付。成交服务费缴纳账户：开户名—莆田市信成造价咨询有限公司；开户行—光大银行莆田分行；账号—79880188000047251。</w:t>
      </w:r>
      <w:bookmarkEnd w:id="4"/>
    </w:p>
    <w:p>
      <w:pPr>
        <w:widowControl/>
        <w:numPr>
          <w:numId w:val="0"/>
        </w:numPr>
        <w:shd w:val="clear" w:color="auto" w:fill="FFFFFF"/>
        <w:spacing w:line="440" w:lineRule="exact"/>
        <w:jc w:val="left"/>
        <w:rPr>
          <w:rFonts w:hint="eastAsia" w:ascii="宋体" w:hAnsi="宋体" w:eastAsia="宋体" w:cs="宋体"/>
          <w:kern w:val="0"/>
          <w:sz w:val="24"/>
          <w:shd w:val="clear" w:color="auto" w:fill="FFFFFF"/>
          <w:lang w:eastAsia="zh-CN" w:bidi="ar"/>
        </w:rPr>
      </w:pPr>
      <w:r>
        <w:rPr>
          <w:rFonts w:hint="eastAsia" w:ascii="宋体" w:hAnsi="宋体" w:eastAsia="宋体" w:cs="宋体"/>
          <w:color w:val="333333"/>
          <w:kern w:val="0"/>
          <w:sz w:val="24"/>
          <w:shd w:val="clear" w:color="auto" w:fill="FFFFFF"/>
          <w:lang w:bidi="ar"/>
        </w:rPr>
        <w:t>代理服务费收费金额：</w:t>
      </w:r>
      <w:r>
        <w:rPr>
          <w:rFonts w:hint="default" w:ascii="宋体" w:hAnsi="宋体" w:eastAsia="宋体" w:cs="宋体"/>
          <w:kern w:val="0"/>
          <w:sz w:val="24"/>
          <w:shd w:val="clear" w:color="auto" w:fill="FFFFFF"/>
          <w:lang w:val="en-US" w:eastAsia="zh-CN" w:bidi="ar"/>
        </w:rPr>
        <w:t>3000</w:t>
      </w:r>
      <w:r>
        <w:rPr>
          <w:rFonts w:hint="eastAsia" w:ascii="宋体" w:hAnsi="宋体" w:eastAsia="宋体" w:cs="宋体"/>
          <w:kern w:val="0"/>
          <w:sz w:val="24"/>
          <w:shd w:val="clear" w:color="auto" w:fill="FFFFFF"/>
          <w:lang w:bidi="ar"/>
        </w:rPr>
        <w:t>元</w:t>
      </w:r>
      <w:r>
        <w:rPr>
          <w:rFonts w:hint="eastAsia" w:ascii="宋体" w:hAnsi="宋体" w:eastAsia="宋体" w:cs="宋体"/>
          <w:color w:val="333333"/>
          <w:kern w:val="0"/>
          <w:sz w:val="24"/>
          <w:shd w:val="clear" w:color="auto" w:fill="FFFFFF"/>
          <w:lang w:bidi="ar"/>
        </w:rPr>
        <w:br w:type="textWrapping"/>
      </w:r>
      <w:r>
        <w:rPr>
          <w:rFonts w:hint="eastAsia" w:ascii="宋体" w:hAnsi="宋体" w:eastAsia="宋体" w:cs="宋体"/>
          <w:kern w:val="0"/>
          <w:sz w:val="24"/>
          <w:shd w:val="clear" w:color="auto" w:fill="FFFFFF"/>
          <w:lang w:bidi="ar"/>
        </w:rPr>
        <w:t>收取对象：</w:t>
      </w:r>
      <w:r>
        <w:rPr>
          <w:rFonts w:hint="eastAsia" w:ascii="宋体" w:hAnsi="宋体" w:eastAsia="宋体" w:cs="宋体"/>
          <w:kern w:val="0"/>
          <w:sz w:val="24"/>
          <w:shd w:val="clear" w:color="auto" w:fill="FFFFFF"/>
          <w:lang w:eastAsia="zh-CN" w:bidi="ar"/>
        </w:rPr>
        <w:t>莆田市普田德贸易有限公司</w:t>
      </w:r>
    </w:p>
    <w:p>
      <w:pPr>
        <w:widowControl/>
        <w:shd w:val="clear" w:color="auto" w:fill="FFFFFF"/>
        <w:spacing w:line="440" w:lineRule="exact"/>
        <w:jc w:val="left"/>
        <w:rPr>
          <w:rStyle w:val="10"/>
          <w:rFonts w:ascii="宋体" w:hAnsi="宋体" w:eastAsia="宋体" w:cs="宋体"/>
          <w:color w:val="333333"/>
          <w:sz w:val="24"/>
          <w:shd w:val="clear" w:color="auto" w:fill="FFFFFF"/>
          <w:lang w:bidi="ar"/>
        </w:rPr>
      </w:pPr>
      <w:r>
        <w:rPr>
          <w:rStyle w:val="10"/>
          <w:rFonts w:hint="eastAsia" w:ascii="宋体" w:hAnsi="宋体" w:eastAsia="宋体" w:cs="宋体"/>
          <w:color w:val="333333"/>
          <w:sz w:val="24"/>
          <w:shd w:val="clear" w:color="auto" w:fill="FFFFFF"/>
          <w:lang w:bidi="ar"/>
        </w:rPr>
        <w:t>七、公告期限</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w:t>
      </w:r>
      <w:r>
        <w:rPr>
          <w:rFonts w:hint="eastAsia" w:ascii="宋体" w:hAnsi="宋体" w:eastAsia="宋体" w:cs="宋体"/>
          <w:color w:val="333333"/>
          <w:kern w:val="0"/>
          <w:sz w:val="24"/>
          <w:shd w:val="clear" w:color="auto" w:fill="FFFFFF"/>
          <w:lang w:bidi="ar"/>
        </w:rPr>
        <w:t>自本公告发布之日起1个工作日</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八、其他补充事宜</w:t>
      </w:r>
    </w:p>
    <w:p>
      <w:pPr>
        <w:widowControl/>
        <w:spacing w:line="440" w:lineRule="exact"/>
        <w:ind w:firstLine="480" w:firstLineChars="200"/>
        <w:jc w:val="left"/>
        <w:rPr>
          <w:rStyle w:val="10"/>
          <w:rFonts w:hint="default" w:ascii="宋体" w:hAnsi="宋体" w:eastAsia="宋体" w:cs="宋体"/>
          <w:b w:val="0"/>
          <w:bCs w:val="0"/>
          <w:i w:val="0"/>
          <w:iCs w:val="0"/>
          <w:color w:val="333333"/>
          <w:sz w:val="24"/>
          <w:shd w:val="clear" w:color="auto" w:fill="FFFFFF"/>
          <w:lang w:val="en-US" w:eastAsia="zh-CN" w:bidi="ar"/>
        </w:rPr>
      </w:pPr>
      <w:r>
        <w:rPr>
          <w:rStyle w:val="10"/>
          <w:rFonts w:hint="eastAsia" w:ascii="宋体" w:hAnsi="宋体" w:eastAsia="宋体" w:cs="宋体"/>
          <w:b w:val="0"/>
          <w:color w:val="333333"/>
          <w:sz w:val="24"/>
          <w:shd w:val="clear" w:color="auto" w:fill="FFFFFF"/>
          <w:lang w:val="en-US" w:eastAsia="zh-CN" w:bidi="ar"/>
        </w:rPr>
        <w:t>截止时间共收到</w:t>
      </w:r>
      <w:r>
        <w:rPr>
          <w:rStyle w:val="10"/>
          <w:rFonts w:hint="default" w:ascii="宋体" w:hAnsi="宋体" w:eastAsia="宋体" w:cs="宋体"/>
          <w:b w:val="0"/>
          <w:color w:val="333333"/>
          <w:sz w:val="24"/>
          <w:shd w:val="clear" w:color="auto" w:fill="FFFFFF"/>
          <w:lang w:val="en-US" w:eastAsia="zh-CN" w:bidi="ar"/>
        </w:rPr>
        <w:t>4</w:t>
      </w:r>
      <w:r>
        <w:rPr>
          <w:rStyle w:val="10"/>
          <w:rFonts w:hint="eastAsia" w:ascii="宋体" w:hAnsi="宋体" w:eastAsia="宋体" w:cs="宋体"/>
          <w:b w:val="0"/>
          <w:color w:val="333333"/>
          <w:sz w:val="24"/>
          <w:shd w:val="clear" w:color="auto" w:fill="FFFFFF"/>
          <w:lang w:val="en-US" w:eastAsia="zh-CN" w:bidi="ar"/>
        </w:rPr>
        <w:t>家供应商递交响应文件，经询价小组审查：</w:t>
      </w:r>
      <w:r>
        <w:rPr>
          <w:rStyle w:val="10"/>
          <w:rFonts w:hint="eastAsia" w:ascii="宋体" w:hAnsi="宋体" w:eastAsia="宋体" w:cs="宋体"/>
          <w:b w:val="0"/>
          <w:bCs w:val="0"/>
          <w:i w:val="0"/>
          <w:iCs w:val="0"/>
          <w:color w:val="333333"/>
          <w:sz w:val="24"/>
          <w:shd w:val="clear" w:color="auto" w:fill="FFFFFF"/>
          <w:lang w:val="en-US" w:eastAsia="zh-CN" w:bidi="ar"/>
        </w:rPr>
        <w:t>莆田市中捷商贸有限公司提供厚工字钢、PTFE高强度白色拉力钢样品不符合询价文件要求及监控未提供检测报告佐证材料，符合性审查不通过。其余</w:t>
      </w:r>
      <w:r>
        <w:rPr>
          <w:rStyle w:val="10"/>
          <w:rFonts w:hint="default" w:ascii="宋体" w:hAnsi="宋体" w:eastAsia="宋体" w:cs="宋体"/>
          <w:b w:val="0"/>
          <w:bCs w:val="0"/>
          <w:i w:val="0"/>
          <w:iCs w:val="0"/>
          <w:color w:val="333333"/>
          <w:sz w:val="24"/>
          <w:shd w:val="clear" w:color="auto" w:fill="FFFFFF"/>
          <w:lang w:val="en-US" w:eastAsia="zh-CN" w:bidi="ar"/>
        </w:rPr>
        <w:t>3</w:t>
      </w:r>
      <w:r>
        <w:rPr>
          <w:rStyle w:val="10"/>
          <w:rFonts w:hint="eastAsia" w:ascii="宋体" w:hAnsi="宋体" w:eastAsia="宋体" w:cs="宋体"/>
          <w:b w:val="0"/>
          <w:bCs w:val="0"/>
          <w:i w:val="0"/>
          <w:iCs w:val="0"/>
          <w:color w:val="333333"/>
          <w:sz w:val="24"/>
          <w:shd w:val="clear" w:color="auto" w:fill="FFFFFF"/>
          <w:lang w:val="en-US" w:eastAsia="zh-CN" w:bidi="ar"/>
        </w:rPr>
        <w:t>家供应商通过资格性及符合性审查，为合格供应商。</w:t>
      </w:r>
    </w:p>
    <w:p>
      <w:pPr>
        <w:widowControl/>
        <w:spacing w:line="440" w:lineRule="exact"/>
        <w:jc w:val="left"/>
        <w:rPr>
          <w:rFonts w:ascii="宋体" w:hAnsi="宋体" w:eastAsia="宋体" w:cs="宋体"/>
          <w:color w:val="333333"/>
          <w:kern w:val="0"/>
          <w:sz w:val="24"/>
          <w:shd w:val="clear" w:color="auto" w:fill="FFFFFF"/>
          <w:lang w:bidi="ar"/>
        </w:rPr>
      </w:pPr>
      <w:r>
        <w:rPr>
          <w:rStyle w:val="10"/>
          <w:rFonts w:hint="eastAsia" w:ascii="宋体" w:hAnsi="宋体" w:eastAsia="宋体" w:cs="宋体"/>
          <w:color w:val="333333"/>
          <w:sz w:val="24"/>
          <w:shd w:val="clear" w:color="auto" w:fill="FFFFFF"/>
          <w:lang w:bidi="ar"/>
        </w:rPr>
        <w:t>九、凡对本次公告内容提出询问，按以下方式联系。</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1.采购人信息</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名  称：</w:t>
      </w:r>
      <w:bookmarkStart w:id="5" w:name="OLE_LINK2"/>
      <w:r>
        <w:rPr>
          <w:rFonts w:hint="eastAsia" w:ascii="宋体" w:hAnsi="宋体"/>
          <w:sz w:val="24"/>
        </w:rPr>
        <w:t>莆田市教师进修学院附属小学</w:t>
      </w:r>
      <w:bookmarkEnd w:id="5"/>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地  址：莆田市荔城区丰美路1055号</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联系方式：</w:t>
      </w:r>
      <w:r>
        <w:rPr>
          <w:rFonts w:ascii="宋体" w:hAnsi="宋体" w:eastAsia="宋体" w:cs="宋体"/>
          <w:color w:val="333333"/>
          <w:kern w:val="0"/>
          <w:sz w:val="24"/>
          <w:shd w:val="clear" w:color="auto" w:fill="FFFFFF"/>
          <w:lang w:bidi="ar"/>
        </w:rPr>
        <w:t>0594-2261503</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w:t>
      </w:r>
      <w:r>
        <w:rPr>
          <w:rFonts w:hint="eastAsia" w:ascii="宋体" w:hAnsi="宋体" w:eastAsia="宋体" w:cs="宋体"/>
          <w:color w:val="333333"/>
          <w:kern w:val="0"/>
          <w:sz w:val="24"/>
          <w:shd w:val="clear" w:color="auto" w:fill="FFFFFF"/>
          <w:lang w:bidi="ar"/>
        </w:rPr>
        <w:t xml:space="preserve"> 2.采购代理机构信息（如有）：</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名  称：莆田市信成造价咨询有限公司</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地  址：莆田市城厢区龙桥街道2580号四楼</w:t>
      </w:r>
    </w:p>
    <w:p>
      <w:pPr>
        <w:widowControl/>
        <w:spacing w:line="440" w:lineRule="exact"/>
        <w:ind w:firstLine="735"/>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联系方式：0594-2855533</w:t>
      </w:r>
    </w:p>
    <w:p>
      <w:pPr>
        <w:widowControl/>
        <w:spacing w:line="440" w:lineRule="exact"/>
        <w:ind w:firstLine="735"/>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3.项目联系人</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项目联系人：小蔡</w:t>
      </w:r>
      <w:r>
        <w:rPr>
          <w:rStyle w:val="10"/>
          <w:rFonts w:hint="eastAsia" w:ascii="宋体" w:hAnsi="宋体" w:eastAsia="宋体" w:cs="宋体"/>
          <w:color w:val="333333"/>
          <w:sz w:val="24"/>
          <w:shd w:val="clear" w:color="auto" w:fill="FFFFFF"/>
          <w:lang w:bidi="ar"/>
        </w:rPr>
        <w:br w:type="textWrapping"/>
      </w:r>
      <w:r>
        <w:rPr>
          <w:rStyle w:val="10"/>
          <w:rFonts w:hint="eastAsia" w:ascii="宋体" w:hAnsi="宋体" w:eastAsia="宋体" w:cs="宋体"/>
          <w:color w:val="333333"/>
          <w:sz w:val="24"/>
          <w:shd w:val="clear" w:color="auto" w:fill="FFFFFF"/>
          <w:lang w:bidi="ar"/>
        </w:rPr>
        <w:t xml:space="preserve">    </w:t>
      </w:r>
      <w:r>
        <w:rPr>
          <w:rFonts w:hint="eastAsia" w:ascii="宋体" w:hAnsi="宋体" w:eastAsia="宋体" w:cs="宋体"/>
          <w:color w:val="333333"/>
          <w:kern w:val="0"/>
          <w:sz w:val="24"/>
          <w:shd w:val="clear" w:color="auto" w:fill="FFFFFF"/>
          <w:lang w:bidi="ar"/>
        </w:rPr>
        <w:t>电  话：0594-2855533</w:t>
      </w:r>
    </w:p>
    <w:p>
      <w:pPr>
        <w:widowControl/>
        <w:spacing w:line="440" w:lineRule="exact"/>
        <w:ind w:firstLine="735"/>
        <w:jc w:val="left"/>
        <w:rPr>
          <w:rFonts w:ascii="宋体" w:hAnsi="宋体" w:eastAsia="宋体" w:cs="宋体"/>
          <w:color w:val="333333"/>
          <w:kern w:val="0"/>
          <w:sz w:val="24"/>
          <w:shd w:val="clear" w:color="auto" w:fill="FFFFFF"/>
          <w:lang w:bidi="ar"/>
        </w:rPr>
      </w:pPr>
    </w:p>
    <w:p>
      <w:pPr>
        <w:widowControl/>
        <w:spacing w:line="440" w:lineRule="exact"/>
        <w:ind w:firstLine="735"/>
        <w:jc w:val="left"/>
        <w:rPr>
          <w:rFonts w:ascii="宋体" w:hAnsi="宋体" w:eastAsia="宋体" w:cs="宋体"/>
          <w:color w:val="333333"/>
          <w:kern w:val="0"/>
          <w:sz w:val="24"/>
          <w:shd w:val="clear" w:color="auto" w:fill="FFFFFF"/>
          <w:lang w:bidi="ar"/>
        </w:rPr>
      </w:pPr>
    </w:p>
    <w:p>
      <w:pPr>
        <w:pStyle w:val="6"/>
        <w:widowControl/>
        <w:spacing w:line="440" w:lineRule="exact"/>
        <w:rPr>
          <w:rFonts w:ascii="宋体" w:hAnsi="宋体" w:eastAsia="宋体" w:cs="宋体"/>
        </w:rPr>
      </w:pPr>
      <w:r>
        <w:rPr>
          <w:rFonts w:hint="eastAsia" w:ascii="宋体" w:hAnsi="宋体"/>
          <w:sz w:val="24"/>
        </w:rPr>
        <w:t>莆田市教师进修学院附属小学</w:t>
      </w:r>
      <w:r>
        <w:rPr>
          <w:rFonts w:hint="eastAsia" w:ascii="宋体" w:hAnsi="宋体" w:eastAsia="宋体" w:cs="宋体"/>
          <w:color w:val="333333"/>
          <w:shd w:val="clear" w:color="auto" w:fill="FFFFFF"/>
        </w:rPr>
        <w:t>          莆田市信成造价咨询有限公司</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rPr>
        <w:t> </w:t>
      </w:r>
      <w:r>
        <w:rPr>
          <w:rFonts w:hint="default" w:ascii="宋体" w:hAnsi="宋体" w:eastAsia="宋体" w:cs="宋体"/>
          <w:color w:val="333333"/>
          <w:shd w:val="clear" w:color="auto" w:fill="FFFFFF"/>
          <w:lang w:val="en-US"/>
        </w:rPr>
        <w:t>2025</w:t>
      </w:r>
      <w:r>
        <w:rPr>
          <w:rFonts w:hint="eastAsia" w:ascii="宋体" w:hAnsi="宋体" w:eastAsia="宋体" w:cs="宋体"/>
          <w:color w:val="333333"/>
          <w:shd w:val="clear" w:color="auto" w:fill="FFFFFF"/>
          <w:lang w:val="en-US" w:eastAsia="zh-CN"/>
        </w:rPr>
        <w:t>年</w:t>
      </w:r>
      <w:r>
        <w:rPr>
          <w:rFonts w:hint="default" w:ascii="宋体" w:hAnsi="宋体" w:eastAsia="宋体" w:cs="宋体"/>
          <w:color w:val="333333"/>
          <w:shd w:val="clear" w:color="auto" w:fill="FFFFFF"/>
          <w:lang w:val="en-US" w:eastAsia="zh-CN"/>
        </w:rPr>
        <w:t>05</w:t>
      </w:r>
      <w:r>
        <w:rPr>
          <w:rFonts w:hint="eastAsia" w:ascii="宋体" w:hAnsi="宋体" w:eastAsia="宋体" w:cs="宋体"/>
          <w:color w:val="333333"/>
          <w:shd w:val="clear" w:color="auto" w:fill="FFFFFF"/>
          <w:lang w:val="en-US" w:eastAsia="zh-CN"/>
        </w:rPr>
        <w:t>月</w:t>
      </w:r>
      <w:r>
        <w:rPr>
          <w:rFonts w:hint="default" w:ascii="宋体" w:hAnsi="宋体" w:eastAsia="宋体" w:cs="宋体"/>
          <w:color w:val="333333"/>
          <w:shd w:val="clear" w:color="auto" w:fill="FFFFFF"/>
          <w:lang w:val="en-US" w:eastAsia="zh-CN"/>
        </w:rPr>
        <w:t>09</w:t>
      </w:r>
      <w:r>
        <w:rPr>
          <w:rFonts w:hint="eastAsia" w:ascii="宋体" w:hAnsi="宋体" w:eastAsia="宋体" w:cs="宋体"/>
          <w:color w:val="333333"/>
          <w:shd w:val="clear" w:color="auto" w:fill="FFFFFF"/>
          <w:lang w:val="en-US" w:eastAsia="zh-CN"/>
        </w:rPr>
        <w:t>日</w:t>
      </w:r>
      <w:r>
        <w:rPr>
          <w:rFonts w:hint="eastAsia" w:ascii="宋体" w:hAnsi="宋体" w:eastAsia="宋体" w:cs="宋体"/>
          <w:color w:val="333333"/>
          <w:shd w:val="clear" w:color="auto" w:fill="FFFFFF"/>
        </w:rPr>
        <w:t>                     20</w:t>
      </w:r>
      <w:r>
        <w:rPr>
          <w:rFonts w:hint="default" w:ascii="宋体" w:hAnsi="宋体" w:eastAsia="宋体" w:cs="宋体"/>
          <w:color w:val="333333"/>
          <w:shd w:val="clear" w:color="auto" w:fill="FFFFFF"/>
          <w:lang w:val="en-US"/>
        </w:rPr>
        <w:t>25</w:t>
      </w:r>
      <w:r>
        <w:rPr>
          <w:rFonts w:hint="eastAsia" w:ascii="宋体" w:hAnsi="宋体" w:eastAsia="宋体" w:cs="宋体"/>
          <w:color w:val="333333"/>
          <w:shd w:val="clear" w:color="auto" w:fill="FFFFFF"/>
        </w:rPr>
        <w:t>年</w:t>
      </w:r>
      <w:r>
        <w:rPr>
          <w:rFonts w:hint="default" w:ascii="宋体" w:hAnsi="宋体" w:eastAsia="宋体" w:cs="宋体"/>
          <w:color w:val="333333"/>
          <w:shd w:val="clear" w:color="auto" w:fill="FFFFFF"/>
          <w:lang w:val="en-US"/>
        </w:rPr>
        <w:t>05</w:t>
      </w:r>
      <w:r>
        <w:rPr>
          <w:rFonts w:hint="eastAsia" w:ascii="宋体" w:hAnsi="宋体" w:eastAsia="宋体" w:cs="宋体"/>
          <w:color w:val="333333"/>
          <w:shd w:val="clear" w:color="auto" w:fill="FFFFFF"/>
        </w:rPr>
        <w:t>月</w:t>
      </w:r>
      <w:r>
        <w:rPr>
          <w:rFonts w:hint="default" w:ascii="宋体" w:hAnsi="宋体" w:eastAsia="宋体" w:cs="宋体"/>
          <w:color w:val="333333"/>
          <w:shd w:val="clear" w:color="auto" w:fill="FFFFFF"/>
          <w:lang w:val="en-US"/>
        </w:rPr>
        <w:t>09</w:t>
      </w:r>
      <w:r>
        <w:rPr>
          <w:rFonts w:hint="eastAsia" w:ascii="宋体" w:hAnsi="宋体" w:eastAsia="宋体" w:cs="宋体"/>
          <w:color w:val="333333"/>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FF225"/>
    <w:multiLevelType w:val="singleLevel"/>
    <w:tmpl w:val="BA8FF225"/>
    <w:lvl w:ilvl="0" w:tentative="0">
      <w:start w:val="1"/>
      <w:numFmt w:val="chineseCounting"/>
      <w:suff w:val="nothing"/>
      <w:lvlText w:val="%1、"/>
      <w:lvlJc w:val="left"/>
      <w:rPr>
        <w:rFonts w:hint="eastAsia"/>
      </w:rPr>
    </w:lvl>
  </w:abstractNum>
  <w:abstractNum w:abstractNumId="1">
    <w:nsid w:val="29F62EDC"/>
    <w:multiLevelType w:val="singleLevel"/>
    <w:tmpl w:val="29F62ED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Tc5MmIxOWNjYWFjYjdjYWViYjBlYjk1NzJmYWIifQ=="/>
  </w:docVars>
  <w:rsids>
    <w:rsidRoot w:val="3DA16242"/>
    <w:rsid w:val="00034195"/>
    <w:rsid w:val="00090E93"/>
    <w:rsid w:val="0009740E"/>
    <w:rsid w:val="000D2263"/>
    <w:rsid w:val="000D7DDE"/>
    <w:rsid w:val="0011121C"/>
    <w:rsid w:val="0011673E"/>
    <w:rsid w:val="00215241"/>
    <w:rsid w:val="00237FA2"/>
    <w:rsid w:val="002605ED"/>
    <w:rsid w:val="00282188"/>
    <w:rsid w:val="002C0D5E"/>
    <w:rsid w:val="003333E3"/>
    <w:rsid w:val="003A2F32"/>
    <w:rsid w:val="003E014E"/>
    <w:rsid w:val="003E0272"/>
    <w:rsid w:val="0045139D"/>
    <w:rsid w:val="004B0005"/>
    <w:rsid w:val="004C63CE"/>
    <w:rsid w:val="004D1084"/>
    <w:rsid w:val="004D4EBB"/>
    <w:rsid w:val="004F22D2"/>
    <w:rsid w:val="00572725"/>
    <w:rsid w:val="005C68A0"/>
    <w:rsid w:val="005D3094"/>
    <w:rsid w:val="005E5189"/>
    <w:rsid w:val="00624295"/>
    <w:rsid w:val="00653091"/>
    <w:rsid w:val="00691B89"/>
    <w:rsid w:val="006C5B71"/>
    <w:rsid w:val="006D5621"/>
    <w:rsid w:val="006D6B32"/>
    <w:rsid w:val="00710110"/>
    <w:rsid w:val="00726999"/>
    <w:rsid w:val="0073024F"/>
    <w:rsid w:val="007F3889"/>
    <w:rsid w:val="00886087"/>
    <w:rsid w:val="008A3B83"/>
    <w:rsid w:val="00A07405"/>
    <w:rsid w:val="00A20A16"/>
    <w:rsid w:val="00A411D6"/>
    <w:rsid w:val="00AC7DE8"/>
    <w:rsid w:val="00AE3C02"/>
    <w:rsid w:val="00AE7473"/>
    <w:rsid w:val="00B47CA0"/>
    <w:rsid w:val="00B54A5B"/>
    <w:rsid w:val="00B5700E"/>
    <w:rsid w:val="00B77387"/>
    <w:rsid w:val="00BE6CCB"/>
    <w:rsid w:val="00C13A91"/>
    <w:rsid w:val="00C50165"/>
    <w:rsid w:val="00C51523"/>
    <w:rsid w:val="00C97A88"/>
    <w:rsid w:val="00CD15AE"/>
    <w:rsid w:val="00CE38C0"/>
    <w:rsid w:val="00CE617F"/>
    <w:rsid w:val="00CF3096"/>
    <w:rsid w:val="00D419D2"/>
    <w:rsid w:val="00D74B0C"/>
    <w:rsid w:val="00D973E5"/>
    <w:rsid w:val="00DA49D8"/>
    <w:rsid w:val="00DD46A2"/>
    <w:rsid w:val="00DF606D"/>
    <w:rsid w:val="00E427C5"/>
    <w:rsid w:val="00E5359E"/>
    <w:rsid w:val="00E65914"/>
    <w:rsid w:val="00F15F9A"/>
    <w:rsid w:val="00F9371C"/>
    <w:rsid w:val="00FD06CD"/>
    <w:rsid w:val="0ADE404E"/>
    <w:rsid w:val="0D7F575D"/>
    <w:rsid w:val="0D8A195F"/>
    <w:rsid w:val="18C2619E"/>
    <w:rsid w:val="1B3C46DB"/>
    <w:rsid w:val="21676060"/>
    <w:rsid w:val="38BB5EC8"/>
    <w:rsid w:val="3AA50868"/>
    <w:rsid w:val="3DA16242"/>
    <w:rsid w:val="40715816"/>
    <w:rsid w:val="52AE422B"/>
    <w:rsid w:val="52C67CBC"/>
    <w:rsid w:val="5AC62AED"/>
    <w:rsid w:val="62BA4AB0"/>
    <w:rsid w:val="695F66D7"/>
    <w:rsid w:val="6CA519B5"/>
    <w:rsid w:val="7B68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line="17" w:lineRule="atLeast"/>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6"/>
    <w:qFormat/>
    <w:uiPriority w:val="0"/>
    <w:rPr>
      <w:sz w:val="18"/>
      <w:szCs w:val="18"/>
    </w:rPr>
  </w:style>
  <w:style w:type="paragraph" w:styleId="4">
    <w:name w:val="footer"/>
    <w:basedOn w:val="1"/>
    <w:link w:val="35"/>
    <w:qFormat/>
    <w:uiPriority w:val="0"/>
    <w:pPr>
      <w:tabs>
        <w:tab w:val="center" w:pos="4153"/>
        <w:tab w:val="right" w:pos="8306"/>
      </w:tabs>
      <w:snapToGrid w:val="0"/>
      <w:jc w:val="left"/>
    </w:pPr>
    <w:rPr>
      <w:sz w:val="18"/>
      <w:szCs w:val="18"/>
    </w:rPr>
  </w:style>
  <w:style w:type="paragraph" w:styleId="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Title"/>
    <w:basedOn w:val="1"/>
    <w:next w:val="1"/>
    <w:link w:val="37"/>
    <w:qFormat/>
    <w:uiPriority w:val="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style>
  <w:style w:type="character" w:styleId="11">
    <w:name w:val="FollowedHyperlink"/>
    <w:basedOn w:val="9"/>
    <w:qFormat/>
    <w:uiPriority w:val="0"/>
    <w:rPr>
      <w:color w:val="66666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uiPriority w:val="0"/>
    <w:rPr>
      <w:bdr w:val="none" w:color="auto" w:sz="0" w:space="0"/>
    </w:rPr>
  </w:style>
  <w:style w:type="character" w:styleId="15">
    <w:name w:val="HTML Variable"/>
    <w:basedOn w:val="9"/>
    <w:uiPriority w:val="0"/>
  </w:style>
  <w:style w:type="character" w:styleId="16">
    <w:name w:val="Hyperlink"/>
    <w:basedOn w:val="9"/>
    <w:qFormat/>
    <w:uiPriority w:val="0"/>
    <w:rPr>
      <w:color w:val="666666"/>
      <w:u w:val="none"/>
    </w:rPr>
  </w:style>
  <w:style w:type="character" w:styleId="17">
    <w:name w:val="HTML Code"/>
    <w:basedOn w:val="9"/>
    <w:qFormat/>
    <w:uiPriority w:val="0"/>
    <w:rPr>
      <w:rFonts w:hint="default" w:ascii="Consolas" w:hAnsi="Consolas" w:eastAsia="Consolas" w:cs="Consolas"/>
      <w:color w:val="CA4440"/>
      <w:sz w:val="21"/>
      <w:szCs w:val="21"/>
      <w:shd w:val="clear" w:color="auto" w:fill="F9F2F4"/>
    </w:rPr>
  </w:style>
  <w:style w:type="character" w:styleId="18">
    <w:name w:val="HTML Cite"/>
    <w:basedOn w:val="9"/>
    <w:uiPriority w:val="0"/>
  </w:style>
  <w:style w:type="character" w:styleId="19">
    <w:name w:val="HTML Keyboard"/>
    <w:basedOn w:val="9"/>
    <w:qFormat/>
    <w:uiPriority w:val="0"/>
    <w:rPr>
      <w:rFonts w:hint="default" w:ascii="Consolas" w:hAnsi="Consolas" w:eastAsia="Consolas" w:cs="Consolas"/>
      <w:color w:val="FFFFFF"/>
      <w:sz w:val="21"/>
      <w:szCs w:val="21"/>
      <w:shd w:val="clear" w:color="auto" w:fill="333333"/>
    </w:rPr>
  </w:style>
  <w:style w:type="character" w:styleId="20">
    <w:name w:val="HTML Sample"/>
    <w:basedOn w:val="9"/>
    <w:qFormat/>
    <w:uiPriority w:val="0"/>
    <w:rPr>
      <w:rFonts w:hint="default" w:ascii="Consolas" w:hAnsi="Consolas" w:eastAsia="Consolas" w:cs="Consolas"/>
      <w:sz w:val="21"/>
      <w:szCs w:val="21"/>
    </w:rPr>
  </w:style>
  <w:style w:type="character" w:customStyle="1" w:styleId="21">
    <w:name w:val="label9"/>
    <w:basedOn w:val="9"/>
    <w:qFormat/>
    <w:uiPriority w:val="0"/>
    <w:rPr>
      <w:color w:val="1AB394"/>
      <w:shd w:val="clear" w:color="auto" w:fill="FFFFFF"/>
    </w:rPr>
  </w:style>
  <w:style w:type="character" w:customStyle="1" w:styleId="22">
    <w:name w:val="label10"/>
    <w:basedOn w:val="9"/>
    <w:qFormat/>
    <w:uiPriority w:val="0"/>
    <w:rPr>
      <w:color w:val="1CC09F"/>
      <w:shd w:val="clear" w:color="auto" w:fill="FFFFFF"/>
    </w:rPr>
  </w:style>
  <w:style w:type="character" w:customStyle="1" w:styleId="23">
    <w:name w:val="label11"/>
    <w:basedOn w:val="9"/>
    <w:qFormat/>
    <w:uiPriority w:val="0"/>
  </w:style>
  <w:style w:type="character" w:customStyle="1" w:styleId="24">
    <w:name w:val="label12"/>
    <w:basedOn w:val="9"/>
    <w:qFormat/>
    <w:uiPriority w:val="0"/>
  </w:style>
  <w:style w:type="character" w:customStyle="1" w:styleId="25">
    <w:name w:val="last-child1"/>
    <w:basedOn w:val="9"/>
    <w:qFormat/>
    <w:uiPriority w:val="0"/>
  </w:style>
  <w:style w:type="character" w:customStyle="1" w:styleId="26">
    <w:name w:val="navy"/>
    <w:basedOn w:val="9"/>
    <w:qFormat/>
    <w:uiPriority w:val="0"/>
    <w:rPr>
      <w:color w:val="1AB394"/>
    </w:rPr>
  </w:style>
  <w:style w:type="paragraph" w:customStyle="1" w:styleId="27">
    <w:name w:val="heading"/>
    <w:basedOn w:val="1"/>
    <w:qFormat/>
    <w:uiPriority w:val="0"/>
    <w:pPr>
      <w:shd w:val="clear" w:color="auto" w:fill="2F4050"/>
      <w:jc w:val="left"/>
    </w:pPr>
    <w:rPr>
      <w:rFonts w:cs="Times New Roman"/>
      <w:b/>
      <w:color w:val="FFFFFF"/>
      <w:kern w:val="0"/>
    </w:rPr>
  </w:style>
  <w:style w:type="paragraph" w:customStyle="1" w:styleId="28">
    <w:name w:val="heading2"/>
    <w:basedOn w:val="1"/>
    <w:qFormat/>
    <w:uiPriority w:val="0"/>
    <w:pPr>
      <w:jc w:val="left"/>
    </w:pPr>
    <w:rPr>
      <w:rFonts w:ascii="微软雅黑" w:hAnsi="微软雅黑" w:eastAsia="微软雅黑" w:cs="Times New Roman"/>
      <w:color w:val="474747"/>
      <w:kern w:val="0"/>
      <w:sz w:val="43"/>
      <w:szCs w:val="43"/>
    </w:rPr>
  </w:style>
  <w:style w:type="paragraph" w:customStyle="1" w:styleId="29">
    <w:name w:val="litterheading"/>
    <w:basedOn w:val="1"/>
    <w:qFormat/>
    <w:uiPriority w:val="0"/>
    <w:pPr>
      <w:jc w:val="left"/>
    </w:pPr>
    <w:rPr>
      <w:rFonts w:hint="eastAsia" w:ascii="微软雅黑" w:hAnsi="微软雅黑" w:eastAsia="微软雅黑" w:cs="Times New Roman"/>
      <w:color w:val="737373"/>
      <w:kern w:val="0"/>
      <w:sz w:val="25"/>
      <w:szCs w:val="25"/>
    </w:rPr>
  </w:style>
  <w:style w:type="paragraph" w:customStyle="1" w:styleId="30">
    <w:name w:val="_Style 22"/>
    <w:basedOn w:val="1"/>
    <w:next w:val="1"/>
    <w:qFormat/>
    <w:uiPriority w:val="0"/>
    <w:pPr>
      <w:pBdr>
        <w:bottom w:val="single" w:color="auto" w:sz="6" w:space="1"/>
      </w:pBdr>
      <w:jc w:val="center"/>
    </w:pPr>
    <w:rPr>
      <w:rFonts w:ascii="Arial" w:eastAsia="宋体"/>
      <w:vanish/>
      <w:sz w:val="16"/>
    </w:rPr>
  </w:style>
  <w:style w:type="paragraph" w:customStyle="1" w:styleId="31">
    <w:name w:val="_Style 23"/>
    <w:basedOn w:val="1"/>
    <w:next w:val="1"/>
    <w:qFormat/>
    <w:uiPriority w:val="0"/>
    <w:pPr>
      <w:pBdr>
        <w:top w:val="single" w:color="auto" w:sz="6" w:space="1"/>
      </w:pBdr>
      <w:jc w:val="center"/>
    </w:pPr>
    <w:rPr>
      <w:rFonts w:ascii="Arial" w:eastAsia="宋体"/>
      <w:vanish/>
      <w:sz w:val="16"/>
    </w:rPr>
  </w:style>
  <w:style w:type="character" w:customStyle="1" w:styleId="32">
    <w:name w:val="searchinput1"/>
    <w:basedOn w:val="9"/>
    <w:qFormat/>
    <w:uiPriority w:val="0"/>
    <w:rPr>
      <w:bdr w:val="single" w:color="BFBFBF" w:sz="6" w:space="0"/>
    </w:rPr>
  </w:style>
  <w:style w:type="character" w:customStyle="1" w:styleId="33">
    <w:name w:val="print1"/>
    <w:basedOn w:val="9"/>
    <w:qFormat/>
    <w:uiPriority w:val="0"/>
  </w:style>
  <w:style w:type="character" w:customStyle="1" w:styleId="34">
    <w:name w:val="页眉 Char"/>
    <w:basedOn w:val="9"/>
    <w:link w:val="5"/>
    <w:qFormat/>
    <w:uiPriority w:val="0"/>
    <w:rPr>
      <w:rFonts w:asciiTheme="minorHAnsi" w:hAnsiTheme="minorHAnsi" w:eastAsiaTheme="minorEastAsia" w:cstheme="minorBidi"/>
      <w:kern w:val="2"/>
      <w:sz w:val="18"/>
      <w:szCs w:val="18"/>
    </w:rPr>
  </w:style>
  <w:style w:type="character" w:customStyle="1" w:styleId="35">
    <w:name w:val="页脚 Char"/>
    <w:basedOn w:val="9"/>
    <w:link w:val="4"/>
    <w:qFormat/>
    <w:uiPriority w:val="0"/>
    <w:rPr>
      <w:rFonts w:asciiTheme="minorHAnsi" w:hAnsiTheme="minorHAnsi" w:eastAsiaTheme="minorEastAsia" w:cstheme="minorBidi"/>
      <w:kern w:val="2"/>
      <w:sz w:val="18"/>
      <w:szCs w:val="18"/>
    </w:rPr>
  </w:style>
  <w:style w:type="character" w:customStyle="1" w:styleId="36">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37">
    <w:name w:val="标题 Char"/>
    <w:basedOn w:val="9"/>
    <w:link w:val="7"/>
    <w:qFormat/>
    <w:uiPriority w:val="0"/>
    <w:rPr>
      <w:rFonts w:asciiTheme="majorHAnsi" w:hAnsiTheme="majorHAnsi" w:cstheme="majorBidi"/>
      <w:b/>
      <w:bCs/>
      <w:kern w:val="2"/>
      <w:sz w:val="32"/>
      <w:szCs w:val="32"/>
    </w:rPr>
  </w:style>
  <w:style w:type="character" w:customStyle="1" w:styleId="38">
    <w:name w:val="active6"/>
    <w:basedOn w:val="9"/>
    <w:uiPriority w:val="0"/>
    <w:rPr>
      <w:color w:val="FFFFFF"/>
      <w:shd w:val="clear" w:fill="E22323"/>
    </w:rPr>
  </w:style>
  <w:style w:type="character" w:customStyle="1" w:styleId="39">
    <w:name w:val="cur"/>
    <w:basedOn w:val="9"/>
    <w:uiPriority w:val="0"/>
    <w:rPr>
      <w:color w:val="E22323"/>
    </w:rPr>
  </w:style>
  <w:style w:type="character" w:customStyle="1" w:styleId="40">
    <w:name w:val="hover5"/>
    <w:basedOn w:val="9"/>
    <w:uiPriority w:val="0"/>
    <w:rPr>
      <w:color w:val="0063BA"/>
    </w:rPr>
  </w:style>
  <w:style w:type="character" w:customStyle="1" w:styleId="41">
    <w:name w:val="margin_right202"/>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601</Words>
  <Characters>721</Characters>
  <Lines>5</Lines>
  <Paragraphs>1</Paragraphs>
  <TotalTime>3</TotalTime>
  <ScaleCrop>false</ScaleCrop>
  <LinksUpToDate>false</LinksUpToDate>
  <CharactersWithSpaces>828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2024-07-05T05:31:00Z</dcterms:created>
  <dc:creator>Administrator</dc:creator>
  <cp:lastModifiedBy>Administrator</cp:lastModifiedBy>
  <cp:lastPrinted>2025-05-08T08:46:52Z</cp:lastPrinted>
  <dcterms:modified xsi:type="dcterms:W3CDTF">2025-05-08T09:01:38Z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10B26EB24058405CB87A61F2235E8913</vt:lpwstr>
  </property>
</Properties>
</file>